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C40EA" w14:textId="35961159" w:rsidR="004D15A9" w:rsidRPr="0007358F" w:rsidRDefault="00B46D90" w:rsidP="00DA596D">
      <w:pPr>
        <w:spacing w:after="0" w:line="240" w:lineRule="auto"/>
        <w:ind w:firstLine="300"/>
        <w:jc w:val="center"/>
        <w:rPr>
          <w:rFonts w:ascii="Times New Roman" w:eastAsia="Times New Roman" w:hAnsi="Times New Roman" w:cs="Times New Roman"/>
          <w:b/>
          <w:bCs/>
          <w:sz w:val="24"/>
          <w:szCs w:val="24"/>
          <w:lang w:eastAsia="lv-LV"/>
        </w:rPr>
      </w:pPr>
      <w:bookmarkStart w:id="0" w:name="_GoBack"/>
      <w:bookmarkEnd w:id="0"/>
      <w:r w:rsidRPr="0007358F">
        <w:rPr>
          <w:rFonts w:ascii="Times New Roman" w:eastAsia="Times New Roman" w:hAnsi="Times New Roman" w:cs="Times New Roman"/>
          <w:b/>
          <w:bCs/>
          <w:sz w:val="24"/>
          <w:szCs w:val="24"/>
          <w:lang w:eastAsia="lv-LV"/>
        </w:rPr>
        <w:t xml:space="preserve">Likumprojekta </w:t>
      </w:r>
      <w:r w:rsidR="00AC1073">
        <w:rPr>
          <w:rFonts w:ascii="Times New Roman" w:eastAsia="Times New Roman" w:hAnsi="Times New Roman" w:cs="Times New Roman"/>
          <w:b/>
          <w:bCs/>
          <w:sz w:val="24"/>
          <w:szCs w:val="24"/>
          <w:lang w:eastAsia="lv-LV"/>
        </w:rPr>
        <w:t>“</w:t>
      </w:r>
      <w:r w:rsidRPr="0007358F">
        <w:rPr>
          <w:rFonts w:ascii="Times New Roman" w:eastAsia="Times New Roman" w:hAnsi="Times New Roman" w:cs="Times New Roman"/>
          <w:b/>
          <w:bCs/>
          <w:sz w:val="24"/>
          <w:szCs w:val="24"/>
          <w:lang w:eastAsia="lv-LV"/>
        </w:rPr>
        <w:t>Grozījum</w:t>
      </w:r>
      <w:r w:rsidR="003F171D" w:rsidRPr="0007358F">
        <w:rPr>
          <w:rFonts w:ascii="Times New Roman" w:eastAsia="Times New Roman" w:hAnsi="Times New Roman" w:cs="Times New Roman"/>
          <w:b/>
          <w:bCs/>
          <w:sz w:val="24"/>
          <w:szCs w:val="24"/>
          <w:lang w:eastAsia="lv-LV"/>
        </w:rPr>
        <w:t>i</w:t>
      </w:r>
      <w:r w:rsidRPr="0007358F">
        <w:rPr>
          <w:rFonts w:ascii="Times New Roman" w:eastAsia="Times New Roman" w:hAnsi="Times New Roman" w:cs="Times New Roman"/>
          <w:b/>
          <w:bCs/>
          <w:sz w:val="24"/>
          <w:szCs w:val="24"/>
          <w:lang w:eastAsia="lv-LV"/>
        </w:rPr>
        <w:t xml:space="preserve"> likumā </w:t>
      </w:r>
      <w:r w:rsidR="00AC1073">
        <w:rPr>
          <w:rFonts w:ascii="Times New Roman" w:eastAsia="Times New Roman" w:hAnsi="Times New Roman" w:cs="Times New Roman"/>
          <w:b/>
          <w:bCs/>
          <w:sz w:val="24"/>
          <w:szCs w:val="24"/>
          <w:lang w:eastAsia="lv-LV"/>
        </w:rPr>
        <w:t>“</w:t>
      </w:r>
      <w:r w:rsidRPr="0007358F">
        <w:rPr>
          <w:rFonts w:ascii="Times New Roman" w:eastAsia="Times New Roman" w:hAnsi="Times New Roman" w:cs="Times New Roman"/>
          <w:b/>
          <w:bCs/>
          <w:sz w:val="24"/>
          <w:szCs w:val="24"/>
          <w:lang w:eastAsia="lv-LV"/>
        </w:rPr>
        <w:t>Par Latvijas Republikas Uzņēmumu reģistru””</w:t>
      </w:r>
      <w:r w:rsidR="004D15A9" w:rsidRPr="0007358F">
        <w:rPr>
          <w:rFonts w:ascii="Times New Roman" w:eastAsia="Times New Roman" w:hAnsi="Times New Roman" w:cs="Times New Roman"/>
          <w:b/>
          <w:bCs/>
          <w:sz w:val="24"/>
          <w:szCs w:val="24"/>
          <w:lang w:eastAsia="lv-LV"/>
        </w:rPr>
        <w:t xml:space="preserve"> sākotnējās ietekmes novērtējuma ziņojums (anotācija)</w:t>
      </w:r>
    </w:p>
    <w:p w14:paraId="335C40EB" w14:textId="77777777" w:rsidR="00DA596D" w:rsidRPr="0007358F" w:rsidRDefault="00DA596D" w:rsidP="00DA596D">
      <w:pPr>
        <w:spacing w:after="0" w:line="240" w:lineRule="auto"/>
        <w:ind w:firstLine="300"/>
        <w:jc w:val="center"/>
        <w:rPr>
          <w:rFonts w:ascii="Times New Roman" w:eastAsia="Times New Roman" w:hAnsi="Times New Roman" w:cs="Times New Roman"/>
          <w:b/>
          <w:bCs/>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7"/>
        <w:gridCol w:w="2394"/>
        <w:gridCol w:w="6280"/>
      </w:tblGrid>
      <w:tr w:rsidR="00274617" w:rsidRPr="0007358F" w14:paraId="335C40ED" w14:textId="77777777" w:rsidTr="001E005A">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335C40EC" w14:textId="77777777" w:rsidR="004D15A9" w:rsidRPr="0007358F"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07358F">
              <w:rPr>
                <w:rFonts w:ascii="Times New Roman" w:eastAsia="Times New Roman" w:hAnsi="Times New Roman" w:cs="Times New Roman"/>
                <w:b/>
                <w:bCs/>
                <w:sz w:val="24"/>
                <w:szCs w:val="24"/>
                <w:lang w:eastAsia="lv-LV"/>
              </w:rPr>
              <w:t>I. Tiesību akta projekta izstrādes nepieciešamība</w:t>
            </w:r>
          </w:p>
        </w:tc>
      </w:tr>
      <w:tr w:rsidR="00274617" w:rsidRPr="0007358F" w14:paraId="335C40F2" w14:textId="77777777" w:rsidTr="006146C1">
        <w:trPr>
          <w:trHeight w:val="405"/>
        </w:trPr>
        <w:tc>
          <w:tcPr>
            <w:tcW w:w="250" w:type="pct"/>
            <w:tcBorders>
              <w:top w:val="outset" w:sz="6" w:space="0" w:color="414142"/>
              <w:left w:val="outset" w:sz="6" w:space="0" w:color="414142"/>
              <w:bottom w:val="outset" w:sz="6" w:space="0" w:color="414142"/>
              <w:right w:val="outset" w:sz="6" w:space="0" w:color="414142"/>
            </w:tcBorders>
            <w:hideMark/>
          </w:tcPr>
          <w:p w14:paraId="335C40EE" w14:textId="77777777" w:rsidR="004D15A9" w:rsidRPr="0007358F" w:rsidRDefault="004D15A9" w:rsidP="00DA596D">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1.</w:t>
            </w:r>
          </w:p>
        </w:tc>
        <w:tc>
          <w:tcPr>
            <w:tcW w:w="1311" w:type="pct"/>
            <w:tcBorders>
              <w:top w:val="outset" w:sz="6" w:space="0" w:color="414142"/>
              <w:left w:val="outset" w:sz="6" w:space="0" w:color="414142"/>
              <w:bottom w:val="outset" w:sz="6" w:space="0" w:color="414142"/>
              <w:right w:val="outset" w:sz="6" w:space="0" w:color="414142"/>
            </w:tcBorders>
            <w:hideMark/>
          </w:tcPr>
          <w:p w14:paraId="335C40EF" w14:textId="77777777" w:rsidR="004D15A9" w:rsidRPr="0007358F" w:rsidRDefault="004D15A9" w:rsidP="00671A84">
            <w:pPr>
              <w:spacing w:after="0" w:line="240" w:lineRule="auto"/>
              <w:jc w:val="both"/>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Pamatojums</w:t>
            </w:r>
          </w:p>
        </w:tc>
        <w:tc>
          <w:tcPr>
            <w:tcW w:w="3439" w:type="pct"/>
            <w:tcBorders>
              <w:top w:val="outset" w:sz="6" w:space="0" w:color="414142"/>
              <w:left w:val="outset" w:sz="6" w:space="0" w:color="414142"/>
              <w:bottom w:val="outset" w:sz="6" w:space="0" w:color="414142"/>
              <w:right w:val="outset" w:sz="6" w:space="0" w:color="414142"/>
            </w:tcBorders>
            <w:hideMark/>
          </w:tcPr>
          <w:p w14:paraId="335C40F0" w14:textId="77777777" w:rsidR="000A11A3" w:rsidRPr="0007358F" w:rsidRDefault="005E72A2" w:rsidP="005E72A2">
            <w:pPr>
              <w:spacing w:after="0" w:line="240" w:lineRule="auto"/>
              <w:ind w:firstLine="284"/>
              <w:jc w:val="both"/>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 xml:space="preserve"> </w:t>
            </w:r>
            <w:r w:rsidR="00794D68" w:rsidRPr="0007358F">
              <w:rPr>
                <w:rFonts w:ascii="Times New Roman" w:eastAsia="Times New Roman" w:hAnsi="Times New Roman" w:cs="Times New Roman"/>
                <w:sz w:val="24"/>
                <w:szCs w:val="24"/>
                <w:lang w:eastAsia="lv-LV"/>
              </w:rPr>
              <w:t xml:space="preserve">Valsts iestāžu darba plāna ēnu ekonomikas ierobežošanai 2016.-2020.gadam (turpmāk – Plāns) pasākuma Nr. 23 “Risku vadības sistēmas ieviešana Uzņēmumu reģistrā” 2. punkts, kurā noteikts, ka nepieciešams stiprināt sadarbību starp Latvijas Republikas Uzņēmumu reģistru (turpmāk – </w:t>
            </w:r>
            <w:r w:rsidR="00CD46AC" w:rsidRPr="0007358F">
              <w:rPr>
                <w:rFonts w:ascii="Times New Roman" w:eastAsia="Times New Roman" w:hAnsi="Times New Roman" w:cs="Times New Roman"/>
                <w:sz w:val="24"/>
                <w:szCs w:val="24"/>
                <w:lang w:eastAsia="lv-LV"/>
              </w:rPr>
              <w:t>UR</w:t>
            </w:r>
            <w:r w:rsidR="00794D68" w:rsidRPr="0007358F">
              <w:rPr>
                <w:rFonts w:ascii="Times New Roman" w:eastAsia="Times New Roman" w:hAnsi="Times New Roman" w:cs="Times New Roman"/>
                <w:sz w:val="24"/>
                <w:szCs w:val="24"/>
                <w:lang w:eastAsia="lv-LV"/>
              </w:rPr>
              <w:t xml:space="preserve">) un kontroles institūcijām, kas kalpotu par pamatu </w:t>
            </w:r>
            <w:r w:rsidR="00CD46AC" w:rsidRPr="0007358F">
              <w:rPr>
                <w:rFonts w:ascii="Times New Roman" w:eastAsia="Times New Roman" w:hAnsi="Times New Roman" w:cs="Times New Roman"/>
                <w:sz w:val="24"/>
                <w:szCs w:val="24"/>
                <w:lang w:eastAsia="lv-LV"/>
              </w:rPr>
              <w:t>UR</w:t>
            </w:r>
            <w:r w:rsidR="00794D68" w:rsidRPr="0007358F">
              <w:rPr>
                <w:rFonts w:ascii="Times New Roman" w:eastAsia="Times New Roman" w:hAnsi="Times New Roman" w:cs="Times New Roman"/>
                <w:sz w:val="24"/>
                <w:szCs w:val="24"/>
                <w:lang w:eastAsia="lv-LV"/>
              </w:rPr>
              <w:t xml:space="preserve"> risku vadības sistēmas pilnveidošanai.</w:t>
            </w:r>
          </w:p>
          <w:p w14:paraId="335C40F1" w14:textId="6C7A0C5C" w:rsidR="00794D68" w:rsidRPr="0007358F" w:rsidRDefault="00794D68" w:rsidP="00A2565C">
            <w:pPr>
              <w:spacing w:after="0" w:line="240" w:lineRule="auto"/>
              <w:ind w:firstLine="284"/>
              <w:jc w:val="both"/>
              <w:rPr>
                <w:rFonts w:ascii="Times New Roman" w:eastAsia="Times New Roman" w:hAnsi="Times New Roman" w:cs="Times New Roman"/>
                <w:color w:val="FF0000"/>
                <w:sz w:val="24"/>
                <w:szCs w:val="24"/>
                <w:lang w:eastAsia="lv-LV"/>
              </w:rPr>
            </w:pPr>
            <w:r w:rsidRPr="0007358F">
              <w:rPr>
                <w:rFonts w:ascii="Times New Roman" w:eastAsia="Times New Roman" w:hAnsi="Times New Roman" w:cs="Times New Roman"/>
                <w:sz w:val="24"/>
                <w:szCs w:val="24"/>
                <w:lang w:eastAsia="lv-LV"/>
              </w:rPr>
              <w:t xml:space="preserve">2016.gada 2.augusta Ministru kabineta sēdes protokola </w:t>
            </w:r>
            <w:r w:rsidR="00AE461A">
              <w:rPr>
                <w:rFonts w:ascii="Times New Roman" w:eastAsia="Times New Roman" w:hAnsi="Times New Roman" w:cs="Times New Roman"/>
                <w:sz w:val="24"/>
                <w:szCs w:val="24"/>
                <w:lang w:eastAsia="lv-LV"/>
              </w:rPr>
              <w:t>49</w:t>
            </w:r>
            <w:r w:rsidR="00AE461A">
              <w:t> </w:t>
            </w:r>
            <w:r w:rsidR="00AE461A" w:rsidRPr="00AE461A">
              <w:rPr>
                <w:rFonts w:ascii="Times New Roman" w:eastAsia="Times New Roman" w:hAnsi="Times New Roman" w:cs="Times New Roman"/>
                <w:sz w:val="24"/>
                <w:szCs w:val="24"/>
                <w:lang w:eastAsia="lv-LV"/>
              </w:rPr>
              <w:t>.§</w:t>
            </w:r>
            <w:r w:rsidR="00AE461A" w:rsidRPr="00D22075">
              <w:rPr>
                <w:rFonts w:ascii="Times New Roman" w:eastAsia="Times New Roman" w:hAnsi="Times New Roman" w:cs="Times New Roman"/>
                <w:i/>
                <w:sz w:val="24"/>
                <w:szCs w:val="24"/>
                <w:lang w:eastAsia="lv-LV"/>
              </w:rPr>
              <w:t xml:space="preserve"> </w:t>
            </w:r>
            <w:r w:rsidRPr="0007358F">
              <w:rPr>
                <w:rFonts w:ascii="Times New Roman" w:eastAsia="Times New Roman" w:hAnsi="Times New Roman" w:cs="Times New Roman"/>
                <w:sz w:val="24"/>
                <w:szCs w:val="24"/>
                <w:lang w:eastAsia="lv-LV"/>
              </w:rPr>
              <w:t>3</w:t>
            </w:r>
            <w:r w:rsidR="006D6CF5">
              <w:rPr>
                <w:rFonts w:ascii="Times New Roman" w:eastAsia="Times New Roman" w:hAnsi="Times New Roman" w:cs="Times New Roman"/>
                <w:sz w:val="24"/>
                <w:szCs w:val="24"/>
                <w:lang w:eastAsia="lv-LV"/>
              </w:rPr>
              <w:t>.1. apakš</w:t>
            </w:r>
            <w:r w:rsidRPr="0007358F">
              <w:rPr>
                <w:rFonts w:ascii="Times New Roman" w:eastAsia="Times New Roman" w:hAnsi="Times New Roman" w:cs="Times New Roman"/>
                <w:sz w:val="24"/>
                <w:szCs w:val="24"/>
                <w:lang w:eastAsia="lv-LV"/>
              </w:rPr>
              <w:t xml:space="preserve">punkts, kurā noteikts uzdevums Tieslietu ministrijai saskaņā ar likumprojekta “Par vidēja termiņa budžeta ietvaru 2017., 2018. un 2019.gadam” un likumprojekta “Par valsts budžetu 2017.gadam” sagatavošanas grafiku izstrādāt un iesniegt Ministru </w:t>
            </w:r>
            <w:r w:rsidRPr="002C65D9">
              <w:rPr>
                <w:rFonts w:ascii="Times New Roman" w:eastAsia="Times New Roman" w:hAnsi="Times New Roman" w:cs="Times New Roman"/>
                <w:sz w:val="24"/>
                <w:szCs w:val="24"/>
                <w:lang w:eastAsia="lv-LV"/>
              </w:rPr>
              <w:t>kabinetā grozījumus likumā “Par Latvijas Republikas Uzņēmumu reģistru”</w:t>
            </w:r>
            <w:r w:rsidR="003F171D" w:rsidRPr="002C65D9">
              <w:rPr>
                <w:rFonts w:ascii="Times New Roman" w:eastAsia="Times New Roman" w:hAnsi="Times New Roman" w:cs="Times New Roman"/>
                <w:sz w:val="24"/>
                <w:szCs w:val="24"/>
                <w:lang w:eastAsia="lv-LV"/>
              </w:rPr>
              <w:t xml:space="preserve"> (turpmāk – Likums)</w:t>
            </w:r>
            <w:r w:rsidRPr="002C65D9">
              <w:rPr>
                <w:rFonts w:ascii="Times New Roman" w:eastAsia="Times New Roman" w:hAnsi="Times New Roman" w:cs="Times New Roman"/>
                <w:sz w:val="24"/>
                <w:szCs w:val="24"/>
                <w:lang w:eastAsia="lv-LV"/>
              </w:rPr>
              <w:t>, nosakot</w:t>
            </w:r>
            <w:r w:rsidRPr="0007358F">
              <w:rPr>
                <w:rFonts w:ascii="Times New Roman" w:eastAsia="Times New Roman" w:hAnsi="Times New Roman" w:cs="Times New Roman"/>
                <w:sz w:val="24"/>
                <w:szCs w:val="24"/>
                <w:lang w:eastAsia="lv-LV"/>
              </w:rPr>
              <w:t xml:space="preserve"> tiesības </w:t>
            </w:r>
            <w:r w:rsidR="00CD46AC" w:rsidRPr="0007358F">
              <w:rPr>
                <w:rFonts w:ascii="Times New Roman" w:eastAsia="Times New Roman" w:hAnsi="Times New Roman" w:cs="Times New Roman"/>
                <w:sz w:val="24"/>
                <w:szCs w:val="24"/>
                <w:lang w:eastAsia="lv-LV"/>
              </w:rPr>
              <w:t>UR</w:t>
            </w:r>
            <w:r w:rsidRPr="0007358F">
              <w:rPr>
                <w:rFonts w:ascii="Times New Roman" w:eastAsia="Times New Roman" w:hAnsi="Times New Roman" w:cs="Times New Roman"/>
                <w:sz w:val="24"/>
                <w:szCs w:val="24"/>
                <w:lang w:eastAsia="lv-LV"/>
              </w:rPr>
              <w:t xml:space="preserve"> atteikt ieraksta komercreģistrā izdarīšanu, ja, veicot komersanta patiesā nolūka pārbaudi, konstatē būtiskus komercdarbības riskus, vienlaikus palielinot izdevumus </w:t>
            </w:r>
            <w:r w:rsidR="00CD46AC" w:rsidRPr="0007358F">
              <w:rPr>
                <w:rFonts w:ascii="Times New Roman" w:eastAsia="Times New Roman" w:hAnsi="Times New Roman" w:cs="Times New Roman"/>
                <w:sz w:val="24"/>
                <w:szCs w:val="24"/>
                <w:lang w:eastAsia="lv-LV"/>
              </w:rPr>
              <w:t>UR</w:t>
            </w:r>
            <w:r w:rsidRPr="0007358F">
              <w:rPr>
                <w:rFonts w:ascii="Times New Roman" w:eastAsia="Times New Roman" w:hAnsi="Times New Roman" w:cs="Times New Roman"/>
                <w:sz w:val="24"/>
                <w:szCs w:val="24"/>
                <w:lang w:eastAsia="lv-LV"/>
              </w:rPr>
              <w:t xml:space="preserve"> </w:t>
            </w:r>
            <w:r w:rsidR="00444DF8" w:rsidRPr="0007358F">
              <w:rPr>
                <w:rFonts w:ascii="Times New Roman" w:eastAsia="Times New Roman" w:hAnsi="Times New Roman" w:cs="Times New Roman"/>
                <w:sz w:val="24"/>
                <w:szCs w:val="24"/>
                <w:lang w:eastAsia="lv-LV"/>
              </w:rPr>
              <w:t>76 595 </w:t>
            </w:r>
            <w:r w:rsidR="00444DF8" w:rsidRPr="00EB4920">
              <w:rPr>
                <w:rFonts w:ascii="Times New Roman" w:eastAsia="Times New Roman" w:hAnsi="Times New Roman" w:cs="Times New Roman"/>
                <w:i/>
                <w:sz w:val="24"/>
                <w:szCs w:val="24"/>
                <w:lang w:eastAsia="lv-LV"/>
              </w:rPr>
              <w:t>euro</w:t>
            </w:r>
            <w:r w:rsidR="00444DF8" w:rsidRPr="0007358F">
              <w:rPr>
                <w:rFonts w:ascii="Times New Roman" w:eastAsia="Times New Roman" w:hAnsi="Times New Roman" w:cs="Times New Roman"/>
                <w:sz w:val="24"/>
                <w:szCs w:val="24"/>
                <w:lang w:eastAsia="lv-LV"/>
              </w:rPr>
              <w:t xml:space="preserve"> </w:t>
            </w:r>
            <w:r w:rsidR="00CB462D">
              <w:rPr>
                <w:rFonts w:ascii="Times New Roman" w:eastAsia="Times New Roman" w:hAnsi="Times New Roman" w:cs="Times New Roman"/>
                <w:sz w:val="24"/>
                <w:szCs w:val="24"/>
                <w:lang w:eastAsia="lv-LV"/>
              </w:rPr>
              <w:t>gadā</w:t>
            </w:r>
            <w:r w:rsidR="007537F6" w:rsidRPr="0007358F">
              <w:rPr>
                <w:rFonts w:ascii="Times New Roman" w:eastAsia="Times New Roman" w:hAnsi="Times New Roman" w:cs="Times New Roman"/>
                <w:sz w:val="24"/>
                <w:szCs w:val="24"/>
                <w:lang w:eastAsia="lv-LV"/>
              </w:rPr>
              <w:t xml:space="preserve"> </w:t>
            </w:r>
            <w:r w:rsidRPr="0007358F">
              <w:rPr>
                <w:rFonts w:ascii="Times New Roman" w:eastAsia="Times New Roman" w:hAnsi="Times New Roman" w:cs="Times New Roman"/>
                <w:sz w:val="24"/>
                <w:szCs w:val="24"/>
                <w:lang w:eastAsia="lv-LV"/>
              </w:rPr>
              <w:t xml:space="preserve">risku vadības sistēmas </w:t>
            </w:r>
            <w:r w:rsidR="007537F6" w:rsidRPr="0007358F">
              <w:rPr>
                <w:rFonts w:ascii="Times New Roman" w:eastAsia="Times New Roman" w:hAnsi="Times New Roman" w:cs="Times New Roman"/>
                <w:sz w:val="24"/>
                <w:szCs w:val="24"/>
                <w:lang w:eastAsia="lv-LV"/>
              </w:rPr>
              <w:t xml:space="preserve">pilnveidošanai </w:t>
            </w:r>
            <w:r w:rsidRPr="0007358F">
              <w:rPr>
                <w:rFonts w:ascii="Times New Roman" w:eastAsia="Times New Roman" w:hAnsi="Times New Roman" w:cs="Times New Roman"/>
                <w:sz w:val="24"/>
                <w:szCs w:val="24"/>
                <w:lang w:eastAsia="lv-LV"/>
              </w:rPr>
              <w:t>un uzturēšanai.</w:t>
            </w:r>
          </w:p>
        </w:tc>
      </w:tr>
      <w:tr w:rsidR="00274617" w:rsidRPr="0007358F" w14:paraId="335C411A" w14:textId="77777777" w:rsidTr="006146C1">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35C40F3" w14:textId="77777777" w:rsidR="004D15A9" w:rsidRPr="0007358F" w:rsidRDefault="004D15A9" w:rsidP="00DA596D">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2.</w:t>
            </w:r>
          </w:p>
        </w:tc>
        <w:tc>
          <w:tcPr>
            <w:tcW w:w="1311" w:type="pct"/>
            <w:tcBorders>
              <w:top w:val="outset" w:sz="6" w:space="0" w:color="414142"/>
              <w:left w:val="outset" w:sz="6" w:space="0" w:color="414142"/>
              <w:bottom w:val="outset" w:sz="6" w:space="0" w:color="414142"/>
              <w:right w:val="outset" w:sz="6" w:space="0" w:color="414142"/>
            </w:tcBorders>
            <w:hideMark/>
          </w:tcPr>
          <w:p w14:paraId="335C40F4" w14:textId="77777777" w:rsidR="004D15A9" w:rsidRPr="0007358F" w:rsidRDefault="004D15A9" w:rsidP="00671A84">
            <w:pPr>
              <w:spacing w:after="0" w:line="240" w:lineRule="auto"/>
              <w:jc w:val="both"/>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tc>
        <w:tc>
          <w:tcPr>
            <w:tcW w:w="3439" w:type="pct"/>
            <w:tcBorders>
              <w:top w:val="outset" w:sz="6" w:space="0" w:color="414142"/>
              <w:left w:val="outset" w:sz="6" w:space="0" w:color="414142"/>
              <w:bottom w:val="outset" w:sz="6" w:space="0" w:color="414142"/>
              <w:right w:val="outset" w:sz="6" w:space="0" w:color="414142"/>
            </w:tcBorders>
            <w:hideMark/>
          </w:tcPr>
          <w:p w14:paraId="335C40F5" w14:textId="77777777" w:rsidR="0014521E" w:rsidRPr="0007358F" w:rsidRDefault="00CD46AC" w:rsidP="008D5243">
            <w:pPr>
              <w:spacing w:after="0" w:line="240" w:lineRule="auto"/>
              <w:ind w:firstLine="284"/>
              <w:jc w:val="both"/>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Ēnu ekonomika veicina nevienlīdzīgu konkurenci, izkropļo tirgu un negatīvi ietekmē nodokļu iekasēšanu, kā arī tās dēļ pieejamie statistikas dati var sniegt politikas veidotājiem maldīgu priekšstatu par norisēm tautsaimniecībā.</w:t>
            </w:r>
            <w:r w:rsidR="008D5243">
              <w:rPr>
                <w:rFonts w:ascii="Times New Roman" w:eastAsia="Times New Roman" w:hAnsi="Times New Roman" w:cs="Times New Roman"/>
                <w:sz w:val="24"/>
                <w:szCs w:val="24"/>
                <w:lang w:eastAsia="lv-LV"/>
              </w:rPr>
              <w:t xml:space="preserve"> </w:t>
            </w:r>
            <w:r w:rsidR="0014521E" w:rsidRPr="0007358F">
              <w:rPr>
                <w:rFonts w:ascii="Times New Roman" w:eastAsia="Times New Roman" w:hAnsi="Times New Roman" w:cs="Times New Roman"/>
                <w:sz w:val="24"/>
                <w:szCs w:val="24"/>
                <w:lang w:eastAsia="lv-LV"/>
              </w:rPr>
              <w:t>Ēnu ekonomikas kontekstā aktuāla problēma ir fiktīvo komersantu dibināšana – komersantu dibināšana vai jau esošu komersantu pārņemšana bez nolūka veikt komercdarbību, kā arī izmaiņu veikšana komercreģistra ierakstos ar nolūku izvairīties no nodokļu jomu regulējošajos normatīvajos aktos noteikto pienākumu izpildes.</w:t>
            </w:r>
          </w:p>
          <w:p w14:paraId="335C40F6" w14:textId="77777777" w:rsidR="00912C72" w:rsidRDefault="00CD46AC" w:rsidP="00912C72">
            <w:pPr>
              <w:spacing w:after="0" w:line="240" w:lineRule="auto"/>
              <w:ind w:firstLine="284"/>
              <w:jc w:val="both"/>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UR</w:t>
            </w:r>
            <w:r w:rsidR="00BE7C79" w:rsidRPr="0007358F">
              <w:rPr>
                <w:rFonts w:ascii="Times New Roman" w:eastAsia="Times New Roman" w:hAnsi="Times New Roman" w:cs="Times New Roman"/>
                <w:sz w:val="24"/>
                <w:szCs w:val="24"/>
                <w:lang w:eastAsia="lv-LV"/>
              </w:rPr>
              <w:t xml:space="preserve"> šobrīd pastāvošā risku vadības sistēma ietver sevī virkni pasākumu, kuri nodrošina iesniegtās informācijas pārbaudi</w:t>
            </w:r>
            <w:r w:rsidRPr="0007358F">
              <w:rPr>
                <w:rFonts w:ascii="Times New Roman" w:eastAsia="Times New Roman" w:hAnsi="Times New Roman" w:cs="Times New Roman"/>
                <w:sz w:val="24"/>
                <w:szCs w:val="24"/>
                <w:lang w:eastAsia="lv-LV"/>
              </w:rPr>
              <w:t xml:space="preserve"> un ēnu ekonomikas apkarošanas kontekstā būtisko risku novēršanu</w:t>
            </w:r>
            <w:r w:rsidR="00894854" w:rsidRPr="0007358F">
              <w:rPr>
                <w:rFonts w:ascii="Times New Roman" w:eastAsia="Times New Roman" w:hAnsi="Times New Roman" w:cs="Times New Roman"/>
                <w:sz w:val="24"/>
                <w:szCs w:val="24"/>
                <w:lang w:eastAsia="lv-LV"/>
              </w:rPr>
              <w:t>, tai skaitā jau iepriekš sodītu, negodprātīgu personu izslēgšanu no uzņēmējdarbības vides</w:t>
            </w:r>
            <w:r w:rsidR="00912C72">
              <w:rPr>
                <w:rFonts w:ascii="Times New Roman" w:eastAsia="Times New Roman" w:hAnsi="Times New Roman" w:cs="Times New Roman"/>
                <w:sz w:val="24"/>
                <w:szCs w:val="24"/>
                <w:lang w:eastAsia="lv-LV"/>
              </w:rPr>
              <w:t>:</w:t>
            </w:r>
          </w:p>
          <w:p w14:paraId="335C40F7" w14:textId="77777777" w:rsidR="00912C72" w:rsidRPr="00912C72" w:rsidRDefault="00651745" w:rsidP="00912C72">
            <w:pPr>
              <w:pStyle w:val="Sarakstarindkopa"/>
              <w:numPr>
                <w:ilvl w:val="0"/>
                <w:numId w:val="6"/>
              </w:numPr>
              <w:spacing w:after="0" w:line="240" w:lineRule="auto"/>
              <w:ind w:left="-30" w:hanging="18"/>
              <w:jc w:val="both"/>
              <w:rPr>
                <w:rFonts w:ascii="Times New Roman" w:eastAsia="Times New Roman" w:hAnsi="Times New Roman" w:cs="Times New Roman"/>
                <w:sz w:val="24"/>
                <w:szCs w:val="24"/>
                <w:lang w:eastAsia="lv-LV"/>
              </w:rPr>
            </w:pPr>
            <w:r w:rsidRPr="00912C72">
              <w:rPr>
                <w:rFonts w:ascii="Times New Roman" w:eastAsia="Times New Roman" w:hAnsi="Times New Roman" w:cs="Times New Roman"/>
                <w:sz w:val="24"/>
                <w:szCs w:val="24"/>
                <w:lang w:eastAsia="lv-LV"/>
              </w:rPr>
              <w:t>Attiecībā uz fiziskajām personām riska vadības sistēmas ietvaros gan parakstu apliecināšanas, gan reģistrācijas procesos tiek veiktas sekojošas pārbaudes</w:t>
            </w:r>
            <w:r w:rsidR="00BE7C79" w:rsidRPr="00912C72">
              <w:rPr>
                <w:rFonts w:ascii="Times New Roman" w:eastAsia="Times New Roman" w:hAnsi="Times New Roman" w:cs="Times New Roman"/>
                <w:sz w:val="24"/>
                <w:szCs w:val="24"/>
                <w:lang w:eastAsia="lv-LV"/>
              </w:rPr>
              <w:t xml:space="preserve">: </w:t>
            </w:r>
          </w:p>
          <w:p w14:paraId="335C40F8" w14:textId="03C7044D" w:rsidR="00912C72" w:rsidRDefault="00BE7C79" w:rsidP="00912C72">
            <w:pPr>
              <w:pStyle w:val="Sarakstarindkopa"/>
              <w:numPr>
                <w:ilvl w:val="1"/>
                <w:numId w:val="6"/>
              </w:numPr>
              <w:spacing w:after="0" w:line="240" w:lineRule="auto"/>
              <w:ind w:left="537" w:firstLine="0"/>
              <w:jc w:val="both"/>
              <w:rPr>
                <w:rFonts w:ascii="Times New Roman" w:eastAsia="Times New Roman" w:hAnsi="Times New Roman" w:cs="Times New Roman"/>
                <w:sz w:val="24"/>
                <w:szCs w:val="24"/>
                <w:lang w:eastAsia="lv-LV"/>
              </w:rPr>
            </w:pPr>
            <w:r w:rsidRPr="00912C72">
              <w:rPr>
                <w:rFonts w:ascii="Times New Roman" w:eastAsia="Times New Roman" w:hAnsi="Times New Roman" w:cs="Times New Roman"/>
                <w:sz w:val="24"/>
                <w:szCs w:val="24"/>
                <w:lang w:eastAsia="lv-LV"/>
              </w:rPr>
              <w:t xml:space="preserve">pamatojoties uz kriminālprocesā pieņemto nolēmumu, ar kuru personai atņemtas tiesības veikt visu veidu komercdarbību, kā arī kriminālprocesā vai administratīvo pārkāpumu procesā pieņemto nolēmumu, ar kuru personai atņemtas tiesības ieņemt noteiktus amatus, UR izdara ierakstu komercreģistrā vai </w:t>
            </w:r>
            <w:r w:rsidR="0001571C">
              <w:rPr>
                <w:rFonts w:ascii="Times New Roman" w:eastAsia="Times New Roman" w:hAnsi="Times New Roman" w:cs="Times New Roman"/>
                <w:sz w:val="24"/>
                <w:szCs w:val="24"/>
                <w:lang w:eastAsia="lv-LV"/>
              </w:rPr>
              <w:t>uzņēmumu reģistra</w:t>
            </w:r>
            <w:r w:rsidR="0001571C" w:rsidRPr="00912C72">
              <w:rPr>
                <w:rFonts w:ascii="Times New Roman" w:eastAsia="Times New Roman" w:hAnsi="Times New Roman" w:cs="Times New Roman"/>
                <w:sz w:val="24"/>
                <w:szCs w:val="24"/>
                <w:lang w:eastAsia="lv-LV"/>
              </w:rPr>
              <w:t xml:space="preserve"> </w:t>
            </w:r>
            <w:r w:rsidRPr="00912C72">
              <w:rPr>
                <w:rFonts w:ascii="Times New Roman" w:eastAsia="Times New Roman" w:hAnsi="Times New Roman" w:cs="Times New Roman"/>
                <w:sz w:val="24"/>
                <w:szCs w:val="24"/>
                <w:lang w:eastAsia="lv-LV"/>
              </w:rPr>
              <w:t xml:space="preserve">žurnālā vai pieņem lēmumu par ieraksta izdarīšanas atlikšanu vai atteikumu izdarīt ierakstu komercreģistrā vai </w:t>
            </w:r>
            <w:r w:rsidR="0001571C">
              <w:rPr>
                <w:rFonts w:ascii="Times New Roman" w:eastAsia="Times New Roman" w:hAnsi="Times New Roman" w:cs="Times New Roman"/>
                <w:sz w:val="24"/>
                <w:szCs w:val="24"/>
                <w:lang w:eastAsia="lv-LV"/>
              </w:rPr>
              <w:t xml:space="preserve">uzņēmumu reģistra </w:t>
            </w:r>
            <w:r w:rsidR="00912C72">
              <w:rPr>
                <w:rFonts w:ascii="Times New Roman" w:eastAsia="Times New Roman" w:hAnsi="Times New Roman" w:cs="Times New Roman"/>
                <w:sz w:val="24"/>
                <w:szCs w:val="24"/>
                <w:lang w:eastAsia="lv-LV"/>
              </w:rPr>
              <w:t>žurnālā</w:t>
            </w:r>
            <w:r w:rsidR="00D22075">
              <w:rPr>
                <w:rFonts w:ascii="Times New Roman" w:eastAsia="Times New Roman" w:hAnsi="Times New Roman" w:cs="Times New Roman"/>
                <w:sz w:val="24"/>
                <w:szCs w:val="24"/>
                <w:lang w:eastAsia="lv-LV"/>
              </w:rPr>
              <w:t xml:space="preserve"> (šobrīd aizliegums nodarboties </w:t>
            </w:r>
            <w:r w:rsidR="00D22075">
              <w:rPr>
                <w:rFonts w:ascii="Times New Roman" w:eastAsia="Times New Roman" w:hAnsi="Times New Roman" w:cs="Times New Roman"/>
                <w:sz w:val="24"/>
                <w:szCs w:val="24"/>
                <w:lang w:eastAsia="lv-LV"/>
              </w:rPr>
              <w:lastRenderedPageBreak/>
              <w:t>ar visa veida komercdarbību piemērots 575 personām, aizliegums nodarboties ar noteikta veida komercdarbību 114 personām, savukārt aizliegums ieņemt amatus 5999 personām)</w:t>
            </w:r>
            <w:r w:rsidR="00912C72">
              <w:rPr>
                <w:rFonts w:ascii="Times New Roman" w:eastAsia="Times New Roman" w:hAnsi="Times New Roman" w:cs="Times New Roman"/>
                <w:sz w:val="24"/>
                <w:szCs w:val="24"/>
                <w:lang w:eastAsia="lv-LV"/>
              </w:rPr>
              <w:t>;</w:t>
            </w:r>
          </w:p>
          <w:p w14:paraId="335C40F9" w14:textId="5F40C494" w:rsidR="00912C72" w:rsidRDefault="00651745" w:rsidP="00912C72">
            <w:pPr>
              <w:pStyle w:val="Sarakstarindkopa"/>
              <w:numPr>
                <w:ilvl w:val="1"/>
                <w:numId w:val="6"/>
              </w:numPr>
              <w:spacing w:after="0" w:line="240" w:lineRule="auto"/>
              <w:ind w:left="537" w:firstLine="0"/>
              <w:jc w:val="both"/>
              <w:rPr>
                <w:rFonts w:ascii="Times New Roman" w:eastAsia="Times New Roman" w:hAnsi="Times New Roman" w:cs="Times New Roman"/>
                <w:sz w:val="24"/>
                <w:szCs w:val="24"/>
                <w:lang w:eastAsia="lv-LV"/>
              </w:rPr>
            </w:pPr>
            <w:r w:rsidRPr="00912C72">
              <w:rPr>
                <w:rFonts w:ascii="Times New Roman" w:eastAsia="Times New Roman" w:hAnsi="Times New Roman" w:cs="Times New Roman"/>
                <w:sz w:val="24"/>
                <w:szCs w:val="24"/>
                <w:lang w:eastAsia="lv-LV"/>
              </w:rPr>
              <w:t>UR pirms paraksta apliecināšanas pārbauda personas statusu Iedzīvotāju reģistrā un personas identitāti, gan pārliecinoties, ka personu apliecinošajā dokumentā ir drošības elementi, gan vizuāli salīdzina personas izskatu ar dokumenta fotogrāfiju, gan arī personu apliecinošo dokumentu pārbaudot Nederīgo dokumentu reģistrā. Tiek pārbaudīts vai tiesa nav noteikusi personai rīcībspējas ierobežojumus un iespēju robežās tiek pārbaudīts personas gribas īstums, uzdodot jautājumus par jaundibināmo/esošo uzņēmumu;</w:t>
            </w:r>
          </w:p>
          <w:p w14:paraId="335C40FA" w14:textId="1B61B932" w:rsidR="00912C72" w:rsidRDefault="00912C72" w:rsidP="00912C72">
            <w:pPr>
              <w:pStyle w:val="Sarakstarindkopa"/>
              <w:numPr>
                <w:ilvl w:val="1"/>
                <w:numId w:val="6"/>
              </w:numPr>
              <w:spacing w:after="0" w:line="240" w:lineRule="auto"/>
              <w:ind w:left="537" w:firstLine="0"/>
              <w:jc w:val="both"/>
              <w:rPr>
                <w:rFonts w:ascii="Times New Roman" w:eastAsia="Times New Roman" w:hAnsi="Times New Roman" w:cs="Times New Roman"/>
                <w:sz w:val="24"/>
                <w:szCs w:val="24"/>
                <w:lang w:eastAsia="lv-LV"/>
              </w:rPr>
            </w:pPr>
            <w:r w:rsidRPr="00912C72">
              <w:rPr>
                <w:rFonts w:ascii="Times New Roman" w:eastAsia="Times New Roman" w:hAnsi="Times New Roman" w:cs="Times New Roman"/>
                <w:sz w:val="24"/>
                <w:szCs w:val="24"/>
                <w:lang w:eastAsia="lv-LV"/>
              </w:rPr>
              <w:t xml:space="preserve">UR atbilstoši normatīvajiem aktiem atliek vai atsaka ieraksta izdarīšanu gadījumos, kad ierakstīšanai tiek pieteiktas </w:t>
            </w:r>
            <w:r w:rsidR="0001571C" w:rsidRPr="0001571C">
              <w:rPr>
                <w:rFonts w:ascii="Times New Roman" w:eastAsia="Times New Roman" w:hAnsi="Times New Roman" w:cs="Times New Roman"/>
                <w:sz w:val="24"/>
                <w:szCs w:val="24"/>
                <w:lang w:eastAsia="lv-LV"/>
              </w:rPr>
              <w:t>Valsts ieņēmumu dienesta (turpmāk – VID)</w:t>
            </w:r>
            <w:r w:rsidR="0001571C">
              <w:rPr>
                <w:rFonts w:ascii="Times New Roman" w:eastAsia="Times New Roman" w:hAnsi="Times New Roman" w:cs="Times New Roman"/>
                <w:sz w:val="24"/>
                <w:szCs w:val="24"/>
                <w:lang w:eastAsia="lv-LV"/>
              </w:rPr>
              <w:t xml:space="preserve"> </w:t>
            </w:r>
            <w:r w:rsidRPr="00912C72">
              <w:rPr>
                <w:rFonts w:ascii="Times New Roman" w:eastAsia="Times New Roman" w:hAnsi="Times New Roman" w:cs="Times New Roman"/>
                <w:sz w:val="24"/>
                <w:szCs w:val="24"/>
                <w:lang w:eastAsia="lv-LV"/>
              </w:rPr>
              <w:t>riska personu sarakstā iekļautās personas</w:t>
            </w:r>
            <w:r w:rsidR="00D22075">
              <w:rPr>
                <w:rFonts w:ascii="Times New Roman" w:eastAsia="Times New Roman" w:hAnsi="Times New Roman" w:cs="Times New Roman"/>
                <w:sz w:val="24"/>
                <w:szCs w:val="24"/>
                <w:lang w:eastAsia="lv-LV"/>
              </w:rPr>
              <w:t xml:space="preserve"> (šobrīd VID riska personu sarakstā ir iekļautas 11476 personas)</w:t>
            </w:r>
            <w:r w:rsidRPr="00912C72">
              <w:rPr>
                <w:rFonts w:ascii="Times New Roman" w:eastAsia="Times New Roman" w:hAnsi="Times New Roman" w:cs="Times New Roman"/>
                <w:sz w:val="24"/>
                <w:szCs w:val="24"/>
                <w:lang w:eastAsia="lv-LV"/>
              </w:rPr>
              <w:t>;</w:t>
            </w:r>
          </w:p>
          <w:p w14:paraId="335C40FB" w14:textId="1648C4DC" w:rsidR="00912C72" w:rsidRDefault="00912C72" w:rsidP="00912C72">
            <w:pPr>
              <w:pStyle w:val="Sarakstarindkopa"/>
              <w:numPr>
                <w:ilvl w:val="1"/>
                <w:numId w:val="6"/>
              </w:numPr>
              <w:spacing w:after="0" w:line="240" w:lineRule="auto"/>
              <w:ind w:left="537" w:firstLine="0"/>
              <w:jc w:val="both"/>
              <w:rPr>
                <w:rFonts w:ascii="Times New Roman" w:eastAsia="Times New Roman" w:hAnsi="Times New Roman" w:cs="Times New Roman"/>
                <w:sz w:val="24"/>
                <w:szCs w:val="24"/>
                <w:lang w:eastAsia="lv-LV"/>
              </w:rPr>
            </w:pPr>
            <w:r w:rsidRPr="00912C72">
              <w:rPr>
                <w:rFonts w:ascii="Times New Roman" w:eastAsia="Times New Roman" w:hAnsi="Times New Roman" w:cs="Times New Roman"/>
                <w:sz w:val="24"/>
                <w:szCs w:val="24"/>
                <w:lang w:eastAsia="lv-LV"/>
              </w:rPr>
              <w:t>pamatojoties uz Iedzīvotāju reģistra informāciju</w:t>
            </w:r>
            <w:r>
              <w:rPr>
                <w:rFonts w:ascii="Times New Roman" w:eastAsia="Times New Roman" w:hAnsi="Times New Roman" w:cs="Times New Roman"/>
                <w:sz w:val="24"/>
                <w:szCs w:val="24"/>
                <w:lang w:eastAsia="lv-LV"/>
              </w:rPr>
              <w:t>,</w:t>
            </w:r>
            <w:r w:rsidRPr="00912C72">
              <w:rPr>
                <w:rFonts w:ascii="Times New Roman" w:eastAsia="Times New Roman" w:hAnsi="Times New Roman" w:cs="Times New Roman"/>
                <w:sz w:val="24"/>
                <w:szCs w:val="24"/>
                <w:lang w:eastAsia="lv-LV"/>
              </w:rPr>
              <w:t xml:space="preserve"> UR vestajos reģistros tiek aktualizētas ziņas par personas nāvi.</w:t>
            </w:r>
          </w:p>
          <w:p w14:paraId="335C40FC" w14:textId="4FF48EF4" w:rsidR="00912C72" w:rsidRPr="00912C72" w:rsidRDefault="00912C72" w:rsidP="00912C72">
            <w:pPr>
              <w:pStyle w:val="Sarakstarindkopa"/>
              <w:spacing w:after="0" w:line="240" w:lineRule="auto"/>
              <w:ind w:left="537"/>
              <w:jc w:val="both"/>
              <w:rPr>
                <w:rFonts w:ascii="Times New Roman" w:eastAsia="Times New Roman" w:hAnsi="Times New Roman" w:cs="Times New Roman"/>
                <w:sz w:val="24"/>
                <w:szCs w:val="24"/>
                <w:lang w:eastAsia="lv-LV"/>
              </w:rPr>
            </w:pPr>
          </w:p>
          <w:p w14:paraId="335C40FD" w14:textId="77777777" w:rsidR="00651745" w:rsidRPr="00912C72" w:rsidRDefault="00651745" w:rsidP="00912C72">
            <w:pPr>
              <w:pStyle w:val="Sarakstarindkopa"/>
              <w:numPr>
                <w:ilvl w:val="0"/>
                <w:numId w:val="5"/>
              </w:numPr>
              <w:spacing w:after="0" w:line="240" w:lineRule="auto"/>
              <w:ind w:left="0" w:firstLine="0"/>
              <w:jc w:val="both"/>
              <w:rPr>
                <w:rFonts w:ascii="Times New Roman" w:eastAsia="Times New Roman" w:hAnsi="Times New Roman" w:cs="Times New Roman"/>
                <w:sz w:val="24"/>
                <w:szCs w:val="24"/>
                <w:lang w:eastAsia="lv-LV"/>
              </w:rPr>
            </w:pPr>
            <w:r w:rsidRPr="00912C72">
              <w:rPr>
                <w:rFonts w:ascii="Times New Roman" w:eastAsia="Times New Roman" w:hAnsi="Times New Roman" w:cs="Times New Roman"/>
                <w:sz w:val="24"/>
                <w:szCs w:val="24"/>
                <w:lang w:eastAsia="lv-LV"/>
              </w:rPr>
              <w:t>Attiecībā uz ierakstīšanai pieteiktajām adresēm riska vadības sistēmas ietvaros tiek veiktas sekojošas pārbaudes:</w:t>
            </w:r>
          </w:p>
          <w:p w14:paraId="335C40FE" w14:textId="77777777" w:rsidR="00912C72" w:rsidRDefault="00912C72" w:rsidP="00912C72">
            <w:pPr>
              <w:pStyle w:val="Sarakstarindkopa"/>
              <w:numPr>
                <w:ilvl w:val="1"/>
                <w:numId w:val="5"/>
              </w:numPr>
              <w:spacing w:after="0" w:line="240" w:lineRule="auto"/>
              <w:ind w:left="537" w:firstLine="0"/>
              <w:jc w:val="both"/>
              <w:rPr>
                <w:rFonts w:ascii="Times New Roman" w:eastAsia="Times New Roman" w:hAnsi="Times New Roman" w:cs="Times New Roman"/>
                <w:sz w:val="24"/>
                <w:szCs w:val="24"/>
                <w:lang w:eastAsia="lv-LV"/>
              </w:rPr>
            </w:pPr>
            <w:r w:rsidRPr="00912C72">
              <w:rPr>
                <w:rFonts w:ascii="Times New Roman" w:eastAsia="Times New Roman" w:hAnsi="Times New Roman" w:cs="Times New Roman"/>
                <w:sz w:val="24"/>
                <w:szCs w:val="24"/>
                <w:lang w:eastAsia="lv-LV"/>
              </w:rPr>
              <w:t>UR nereģistrē juridiskās adreses VID noteiktajās riska adresēs</w:t>
            </w:r>
            <w:r w:rsidR="00D22075">
              <w:rPr>
                <w:rFonts w:ascii="Times New Roman" w:eastAsia="Times New Roman" w:hAnsi="Times New Roman" w:cs="Times New Roman"/>
                <w:sz w:val="24"/>
                <w:szCs w:val="24"/>
                <w:lang w:eastAsia="lv-LV"/>
              </w:rPr>
              <w:t xml:space="preserve"> (šobrīd VID riska adrešu sarakstā ietvertas 186 adreses)</w:t>
            </w:r>
            <w:r w:rsidRPr="00912C72">
              <w:rPr>
                <w:rFonts w:ascii="Times New Roman" w:eastAsia="Times New Roman" w:hAnsi="Times New Roman" w:cs="Times New Roman"/>
                <w:sz w:val="24"/>
                <w:szCs w:val="24"/>
                <w:lang w:eastAsia="lv-LV"/>
              </w:rPr>
              <w:t>;</w:t>
            </w:r>
          </w:p>
          <w:p w14:paraId="335C40FF" w14:textId="77777777" w:rsidR="00912C72" w:rsidRDefault="00912C72" w:rsidP="00912C72">
            <w:pPr>
              <w:pStyle w:val="Sarakstarindkopa"/>
              <w:numPr>
                <w:ilvl w:val="1"/>
                <w:numId w:val="5"/>
              </w:numPr>
              <w:spacing w:after="0" w:line="240" w:lineRule="auto"/>
              <w:ind w:left="537" w:firstLine="0"/>
              <w:jc w:val="both"/>
              <w:rPr>
                <w:rFonts w:ascii="Times New Roman" w:eastAsia="Times New Roman" w:hAnsi="Times New Roman" w:cs="Times New Roman"/>
                <w:sz w:val="24"/>
                <w:szCs w:val="24"/>
                <w:lang w:eastAsia="lv-LV"/>
              </w:rPr>
            </w:pPr>
            <w:r w:rsidRPr="00912C72">
              <w:rPr>
                <w:rFonts w:ascii="Times New Roman" w:eastAsia="Times New Roman" w:hAnsi="Times New Roman" w:cs="Times New Roman"/>
                <w:sz w:val="24"/>
                <w:szCs w:val="24"/>
                <w:lang w:eastAsia="lv-LV"/>
              </w:rPr>
              <w:t>šobrīd tiek iesniegtas nekustamo īpašumu īpašnieku piekrišanas juridiskās adreses reģistrācijai – nākotnē paredzēts atteikties, vienlaikus, nosakot vienkāršoto likvidāciju nesasniedzamības gadījumā;</w:t>
            </w:r>
          </w:p>
          <w:p w14:paraId="335C4100" w14:textId="77777777" w:rsidR="00912C72" w:rsidRDefault="00912C72" w:rsidP="00912C72">
            <w:pPr>
              <w:pStyle w:val="Sarakstarindkopa"/>
              <w:numPr>
                <w:ilvl w:val="1"/>
                <w:numId w:val="5"/>
              </w:numPr>
              <w:spacing w:after="0" w:line="240" w:lineRule="auto"/>
              <w:ind w:left="537" w:firstLine="0"/>
              <w:jc w:val="both"/>
              <w:rPr>
                <w:rFonts w:ascii="Times New Roman" w:eastAsia="Times New Roman" w:hAnsi="Times New Roman" w:cs="Times New Roman"/>
                <w:sz w:val="24"/>
                <w:szCs w:val="24"/>
                <w:lang w:eastAsia="lv-LV"/>
              </w:rPr>
            </w:pPr>
            <w:r w:rsidRPr="00912C72">
              <w:rPr>
                <w:rFonts w:ascii="Times New Roman" w:eastAsia="Times New Roman" w:hAnsi="Times New Roman" w:cs="Times New Roman"/>
                <w:sz w:val="24"/>
                <w:szCs w:val="24"/>
                <w:lang w:eastAsia="lv-LV"/>
              </w:rPr>
              <w:t>UR pārliecinās Valsts vienotajā datorizētajā zemesgrāmatā vai Nekustamā īpašuma valsts kadastra informācijas sistēmā vai persona, kura ir devusi piekrišanu juridiskās adreses reģistrācijai nekustamajā īpašumā, ir šī nekustamā īpašumā īpašnieks. Kā arī, saņemot iesniegumus no nekustamo īpašumu īpašniekiem par to, ka tie nepiekrīt juridisko adrešu reģistrācijai savā nekustamajā īpašumā, tie tiek ņemti vērā izskatot iesniegtos reģistrācijas dokumentus, proti, tiek atlikta ieraksta izdarīšana, pamatojoties uz UR esošu pretrunīgu informāciju;</w:t>
            </w:r>
          </w:p>
          <w:p w14:paraId="335C4101" w14:textId="77777777" w:rsidR="00912C72" w:rsidRDefault="00912C72" w:rsidP="00912C72">
            <w:pPr>
              <w:pStyle w:val="Sarakstarindkopa"/>
              <w:numPr>
                <w:ilvl w:val="1"/>
                <w:numId w:val="5"/>
              </w:numPr>
              <w:spacing w:after="0" w:line="240" w:lineRule="auto"/>
              <w:ind w:left="537" w:firstLine="0"/>
              <w:jc w:val="both"/>
              <w:rPr>
                <w:rFonts w:ascii="Times New Roman" w:eastAsia="Times New Roman" w:hAnsi="Times New Roman" w:cs="Times New Roman"/>
                <w:sz w:val="24"/>
                <w:szCs w:val="24"/>
                <w:lang w:eastAsia="lv-LV"/>
              </w:rPr>
            </w:pPr>
            <w:r w:rsidRPr="00912C72">
              <w:rPr>
                <w:rFonts w:ascii="Times New Roman" w:eastAsia="Times New Roman" w:hAnsi="Times New Roman" w:cs="Times New Roman"/>
                <w:sz w:val="24"/>
                <w:szCs w:val="24"/>
                <w:lang w:eastAsia="lv-LV"/>
              </w:rPr>
              <w:t>reģistrācija tiek atlikta gadījumos, ja pieteiktā juridiskā adrese nav iekļauta vai nesakrīt ar Valsts adrešu reģistrā norādīto;</w:t>
            </w:r>
          </w:p>
          <w:p w14:paraId="335C4102" w14:textId="45ABC4E5" w:rsidR="00651745" w:rsidRDefault="00912C72" w:rsidP="00912C72">
            <w:pPr>
              <w:pStyle w:val="Sarakstarindkopa"/>
              <w:numPr>
                <w:ilvl w:val="1"/>
                <w:numId w:val="5"/>
              </w:numPr>
              <w:spacing w:after="0" w:line="240" w:lineRule="auto"/>
              <w:ind w:left="537" w:firstLine="0"/>
              <w:jc w:val="both"/>
              <w:rPr>
                <w:rFonts w:ascii="Times New Roman" w:eastAsia="Times New Roman" w:hAnsi="Times New Roman" w:cs="Times New Roman"/>
                <w:sz w:val="24"/>
                <w:szCs w:val="24"/>
                <w:lang w:eastAsia="lv-LV"/>
              </w:rPr>
            </w:pPr>
            <w:r w:rsidRPr="00912C72">
              <w:rPr>
                <w:rFonts w:ascii="Times New Roman" w:eastAsia="Times New Roman" w:hAnsi="Times New Roman" w:cs="Times New Roman"/>
                <w:sz w:val="24"/>
                <w:szCs w:val="24"/>
                <w:lang w:eastAsia="lv-LV"/>
              </w:rPr>
              <w:t>pamatojoties uz Valsts adrešu reģistrā esošo informāciju</w:t>
            </w:r>
            <w:r w:rsidR="00824CB7">
              <w:rPr>
                <w:rFonts w:ascii="Times New Roman" w:eastAsia="Times New Roman" w:hAnsi="Times New Roman" w:cs="Times New Roman"/>
                <w:sz w:val="24"/>
                <w:szCs w:val="24"/>
                <w:lang w:eastAsia="lv-LV"/>
              </w:rPr>
              <w:t>,</w:t>
            </w:r>
            <w:r w:rsidRPr="00912C72">
              <w:rPr>
                <w:rFonts w:ascii="Times New Roman" w:eastAsia="Times New Roman" w:hAnsi="Times New Roman" w:cs="Times New Roman"/>
                <w:sz w:val="24"/>
                <w:szCs w:val="24"/>
                <w:lang w:eastAsia="lv-LV"/>
              </w:rPr>
              <w:t xml:space="preserve"> UR vestajos reģistros tiek aktualizētas adreses, ja saskaņā ar Administratīvo teritoriju un apdzīvoto vietu likumu mainījusies attiecīgā adrese (nākotnē paredzēts paplašināt aktu</w:t>
            </w:r>
            <w:r>
              <w:rPr>
                <w:rFonts w:ascii="Times New Roman" w:eastAsia="Times New Roman" w:hAnsi="Times New Roman" w:cs="Times New Roman"/>
                <w:sz w:val="24"/>
                <w:szCs w:val="24"/>
                <w:lang w:eastAsia="lv-LV"/>
              </w:rPr>
              <w:t xml:space="preserve">alizāciju uz visiem </w:t>
            </w:r>
            <w:r>
              <w:rPr>
                <w:rFonts w:ascii="Times New Roman" w:eastAsia="Times New Roman" w:hAnsi="Times New Roman" w:cs="Times New Roman"/>
                <w:sz w:val="24"/>
                <w:szCs w:val="24"/>
                <w:lang w:eastAsia="lv-LV"/>
              </w:rPr>
              <w:lastRenderedPageBreak/>
              <w:t>gadījumiem).</w:t>
            </w:r>
          </w:p>
          <w:p w14:paraId="335C4103" w14:textId="77777777" w:rsidR="00912C72" w:rsidRPr="00912C72" w:rsidRDefault="00912C72" w:rsidP="00912C72">
            <w:pPr>
              <w:spacing w:after="0" w:line="240" w:lineRule="auto"/>
              <w:ind w:left="537"/>
              <w:jc w:val="both"/>
              <w:rPr>
                <w:rFonts w:ascii="Times New Roman" w:eastAsia="Times New Roman" w:hAnsi="Times New Roman" w:cs="Times New Roman"/>
                <w:sz w:val="24"/>
                <w:szCs w:val="24"/>
                <w:lang w:eastAsia="lv-LV"/>
              </w:rPr>
            </w:pPr>
          </w:p>
          <w:p w14:paraId="335C4104" w14:textId="77777777" w:rsidR="00651745" w:rsidRPr="00912C72" w:rsidRDefault="00651745" w:rsidP="00912C72">
            <w:pPr>
              <w:pStyle w:val="Sarakstarindkopa"/>
              <w:numPr>
                <w:ilvl w:val="0"/>
                <w:numId w:val="5"/>
              </w:numPr>
              <w:spacing w:after="0" w:line="240" w:lineRule="auto"/>
              <w:ind w:left="0" w:firstLine="0"/>
              <w:jc w:val="both"/>
              <w:rPr>
                <w:rFonts w:ascii="Times New Roman" w:eastAsia="Times New Roman" w:hAnsi="Times New Roman" w:cs="Times New Roman"/>
                <w:sz w:val="24"/>
                <w:szCs w:val="24"/>
                <w:lang w:eastAsia="lv-LV"/>
              </w:rPr>
            </w:pPr>
            <w:r w:rsidRPr="00912C72">
              <w:rPr>
                <w:rFonts w:ascii="Times New Roman" w:eastAsia="Times New Roman" w:hAnsi="Times New Roman" w:cs="Times New Roman"/>
                <w:sz w:val="24"/>
                <w:szCs w:val="24"/>
                <w:lang w:eastAsia="lv-LV"/>
              </w:rPr>
              <w:t>Attiecībā uz tiesību subjektiem, kuriem jau konstatēti normatīvo aktu pārkāpumi, riska vadības sistēmas ietvaros tiek veiktas sekojošas darbības:</w:t>
            </w:r>
          </w:p>
          <w:p w14:paraId="335C4105" w14:textId="31070CDD" w:rsidR="00912C72" w:rsidRDefault="00CD46AC" w:rsidP="00417D90">
            <w:pPr>
              <w:pStyle w:val="Sarakstarindkopa"/>
              <w:numPr>
                <w:ilvl w:val="1"/>
                <w:numId w:val="5"/>
              </w:numPr>
              <w:spacing w:after="0" w:line="240" w:lineRule="auto"/>
              <w:ind w:left="537" w:firstLine="0"/>
              <w:jc w:val="both"/>
              <w:rPr>
                <w:rFonts w:ascii="Times New Roman" w:eastAsia="Times New Roman" w:hAnsi="Times New Roman" w:cs="Times New Roman"/>
                <w:sz w:val="24"/>
                <w:szCs w:val="24"/>
                <w:lang w:eastAsia="lv-LV"/>
              </w:rPr>
            </w:pPr>
            <w:r w:rsidRPr="00912C72">
              <w:rPr>
                <w:rFonts w:ascii="Times New Roman" w:eastAsia="Times New Roman" w:hAnsi="Times New Roman" w:cs="Times New Roman"/>
                <w:sz w:val="24"/>
                <w:szCs w:val="24"/>
                <w:lang w:eastAsia="lv-LV"/>
              </w:rPr>
              <w:t>UR</w:t>
            </w:r>
            <w:r w:rsidR="00BE7C79" w:rsidRPr="00912C72">
              <w:rPr>
                <w:rFonts w:ascii="Times New Roman" w:eastAsia="Times New Roman" w:hAnsi="Times New Roman" w:cs="Times New Roman"/>
                <w:sz w:val="24"/>
                <w:szCs w:val="24"/>
                <w:lang w:eastAsia="lv-LV"/>
              </w:rPr>
              <w:t xml:space="preserve"> reģistrē</w:t>
            </w:r>
            <w:r w:rsidR="0001571C">
              <w:rPr>
                <w:rFonts w:ascii="Times New Roman" w:eastAsia="Times New Roman" w:hAnsi="Times New Roman" w:cs="Times New Roman"/>
                <w:sz w:val="24"/>
                <w:szCs w:val="24"/>
                <w:lang w:eastAsia="lv-LV"/>
              </w:rPr>
              <w:t xml:space="preserve"> VID</w:t>
            </w:r>
            <w:r w:rsidR="00BE7C79" w:rsidRPr="00912C72">
              <w:rPr>
                <w:rFonts w:ascii="Times New Roman" w:eastAsia="Times New Roman" w:hAnsi="Times New Roman" w:cs="Times New Roman"/>
                <w:sz w:val="24"/>
                <w:szCs w:val="24"/>
                <w:lang w:eastAsia="lv-LV"/>
              </w:rPr>
              <w:t xml:space="preserve"> pieņemtos lēmums par sa</w:t>
            </w:r>
            <w:r w:rsidR="00651745" w:rsidRPr="00912C72">
              <w:rPr>
                <w:rFonts w:ascii="Times New Roman" w:eastAsia="Times New Roman" w:hAnsi="Times New Roman" w:cs="Times New Roman"/>
                <w:sz w:val="24"/>
                <w:szCs w:val="24"/>
                <w:lang w:eastAsia="lv-LV"/>
              </w:rPr>
              <w:t>imnieciskās darbības apturēšanu</w:t>
            </w:r>
            <w:r w:rsidR="00A2565C">
              <w:rPr>
                <w:rFonts w:ascii="Times New Roman" w:eastAsia="Times New Roman" w:hAnsi="Times New Roman" w:cs="Times New Roman"/>
                <w:sz w:val="24"/>
                <w:szCs w:val="24"/>
                <w:lang w:eastAsia="lv-LV"/>
              </w:rPr>
              <w:t xml:space="preserve"> </w:t>
            </w:r>
            <w:r w:rsidR="00417D90" w:rsidRPr="00417D90">
              <w:rPr>
                <w:rFonts w:ascii="Times New Roman" w:eastAsia="Times New Roman" w:hAnsi="Times New Roman" w:cs="Times New Roman"/>
                <w:sz w:val="24"/>
                <w:szCs w:val="24"/>
                <w:lang w:eastAsia="lv-LV"/>
              </w:rPr>
              <w:t>(2014.gadā reģistrētas 10580, 2015.gadā</w:t>
            </w:r>
            <w:r w:rsidR="00824CB7">
              <w:rPr>
                <w:rFonts w:ascii="Times New Roman" w:eastAsia="Times New Roman" w:hAnsi="Times New Roman" w:cs="Times New Roman"/>
                <w:sz w:val="24"/>
                <w:szCs w:val="24"/>
                <w:lang w:eastAsia="lv-LV"/>
              </w:rPr>
              <w:t xml:space="preserve"> –</w:t>
            </w:r>
            <w:r w:rsidR="00417D90" w:rsidRPr="00417D90">
              <w:rPr>
                <w:rFonts w:ascii="Times New Roman" w:eastAsia="Times New Roman" w:hAnsi="Times New Roman" w:cs="Times New Roman"/>
                <w:sz w:val="24"/>
                <w:szCs w:val="24"/>
                <w:lang w:eastAsia="lv-LV"/>
              </w:rPr>
              <w:t xml:space="preserve"> 10566, savukārt 2016.gadā laika posmā no janvār</w:t>
            </w:r>
            <w:r w:rsidR="00824CB7">
              <w:rPr>
                <w:rFonts w:ascii="Times New Roman" w:eastAsia="Times New Roman" w:hAnsi="Times New Roman" w:cs="Times New Roman"/>
                <w:sz w:val="24"/>
                <w:szCs w:val="24"/>
                <w:lang w:eastAsia="lv-LV"/>
              </w:rPr>
              <w:t>a</w:t>
            </w:r>
            <w:r w:rsidR="00417D90" w:rsidRPr="00417D90">
              <w:rPr>
                <w:rFonts w:ascii="Times New Roman" w:eastAsia="Times New Roman" w:hAnsi="Times New Roman" w:cs="Times New Roman"/>
                <w:sz w:val="24"/>
                <w:szCs w:val="24"/>
                <w:lang w:eastAsia="lv-LV"/>
              </w:rPr>
              <w:t xml:space="preserve"> līdz jūlijam </w:t>
            </w:r>
            <w:r w:rsidR="00824CB7">
              <w:rPr>
                <w:rFonts w:ascii="Times New Roman" w:eastAsia="Times New Roman" w:hAnsi="Times New Roman" w:cs="Times New Roman"/>
                <w:sz w:val="24"/>
                <w:szCs w:val="24"/>
                <w:lang w:eastAsia="lv-LV"/>
              </w:rPr>
              <w:t xml:space="preserve">– </w:t>
            </w:r>
            <w:r w:rsidR="00417D90" w:rsidRPr="00417D90">
              <w:rPr>
                <w:rFonts w:ascii="Times New Roman" w:eastAsia="Times New Roman" w:hAnsi="Times New Roman" w:cs="Times New Roman"/>
                <w:sz w:val="24"/>
                <w:szCs w:val="24"/>
                <w:lang w:eastAsia="lv-LV"/>
              </w:rPr>
              <w:t>4666 saimnieciskās darbības apturēšanas)</w:t>
            </w:r>
            <w:r w:rsidR="00651745" w:rsidRPr="00912C72">
              <w:rPr>
                <w:rFonts w:ascii="Times New Roman" w:eastAsia="Times New Roman" w:hAnsi="Times New Roman" w:cs="Times New Roman"/>
                <w:sz w:val="24"/>
                <w:szCs w:val="24"/>
                <w:lang w:eastAsia="lv-LV"/>
              </w:rPr>
              <w:t xml:space="preserve">; </w:t>
            </w:r>
          </w:p>
          <w:p w14:paraId="335C4106" w14:textId="77777777" w:rsidR="00912C72" w:rsidRDefault="00CD46AC" w:rsidP="00912C72">
            <w:pPr>
              <w:pStyle w:val="Sarakstarindkopa"/>
              <w:numPr>
                <w:ilvl w:val="1"/>
                <w:numId w:val="5"/>
              </w:numPr>
              <w:spacing w:after="0" w:line="240" w:lineRule="auto"/>
              <w:ind w:left="537" w:firstLine="0"/>
              <w:jc w:val="both"/>
              <w:rPr>
                <w:rFonts w:ascii="Times New Roman" w:eastAsia="Times New Roman" w:hAnsi="Times New Roman" w:cs="Times New Roman"/>
                <w:sz w:val="24"/>
                <w:szCs w:val="24"/>
                <w:lang w:eastAsia="lv-LV"/>
              </w:rPr>
            </w:pPr>
            <w:r w:rsidRPr="00912C72">
              <w:rPr>
                <w:rFonts w:ascii="Times New Roman" w:eastAsia="Times New Roman" w:hAnsi="Times New Roman" w:cs="Times New Roman"/>
                <w:sz w:val="24"/>
                <w:szCs w:val="24"/>
                <w:lang w:eastAsia="lv-LV"/>
              </w:rPr>
              <w:t>UR</w:t>
            </w:r>
            <w:r w:rsidR="00BE7C79" w:rsidRPr="00912C72">
              <w:rPr>
                <w:rFonts w:ascii="Times New Roman" w:eastAsia="Times New Roman" w:hAnsi="Times New Roman" w:cs="Times New Roman"/>
                <w:sz w:val="24"/>
                <w:szCs w:val="24"/>
                <w:lang w:eastAsia="lv-LV"/>
              </w:rPr>
              <w:t xml:space="preserve"> reģistrē VID un citu institūciju piemērotos nodrošinājuma līd</w:t>
            </w:r>
            <w:r w:rsidR="00894854" w:rsidRPr="00912C72">
              <w:rPr>
                <w:rFonts w:ascii="Times New Roman" w:eastAsia="Times New Roman" w:hAnsi="Times New Roman" w:cs="Times New Roman"/>
                <w:sz w:val="24"/>
                <w:szCs w:val="24"/>
                <w:lang w:eastAsia="lv-LV"/>
              </w:rPr>
              <w:t xml:space="preserve">zekļus un atbilstoši to saturam </w:t>
            </w:r>
            <w:r w:rsidR="00BE7C79" w:rsidRPr="00912C72">
              <w:rPr>
                <w:rFonts w:ascii="Times New Roman" w:eastAsia="Times New Roman" w:hAnsi="Times New Roman" w:cs="Times New Roman"/>
                <w:sz w:val="24"/>
                <w:szCs w:val="24"/>
                <w:lang w:eastAsia="lv-LV"/>
              </w:rPr>
              <w:t>atliek vai atsaka reģistrāciju noteiktos gadījumos;</w:t>
            </w:r>
          </w:p>
          <w:p w14:paraId="335C4107" w14:textId="77777777" w:rsidR="00BE7C79" w:rsidRDefault="00894854" w:rsidP="00912C72">
            <w:pPr>
              <w:pStyle w:val="Sarakstarindkopa"/>
              <w:numPr>
                <w:ilvl w:val="1"/>
                <w:numId w:val="5"/>
              </w:numPr>
              <w:spacing w:after="0" w:line="240" w:lineRule="auto"/>
              <w:ind w:left="537" w:firstLine="0"/>
              <w:jc w:val="both"/>
              <w:rPr>
                <w:rFonts w:ascii="Times New Roman" w:eastAsia="Times New Roman" w:hAnsi="Times New Roman" w:cs="Times New Roman"/>
                <w:sz w:val="24"/>
                <w:szCs w:val="24"/>
                <w:lang w:eastAsia="lv-LV"/>
              </w:rPr>
            </w:pPr>
            <w:r w:rsidRPr="00912C72">
              <w:rPr>
                <w:rFonts w:ascii="Times New Roman" w:eastAsia="Times New Roman" w:hAnsi="Times New Roman" w:cs="Times New Roman"/>
                <w:sz w:val="24"/>
                <w:szCs w:val="24"/>
                <w:lang w:eastAsia="lv-LV"/>
              </w:rPr>
              <w:t>UR</w:t>
            </w:r>
            <w:r w:rsidR="00BE7C79" w:rsidRPr="00912C72">
              <w:rPr>
                <w:rFonts w:ascii="Times New Roman" w:eastAsia="Times New Roman" w:hAnsi="Times New Roman" w:cs="Times New Roman"/>
                <w:sz w:val="24"/>
                <w:szCs w:val="24"/>
                <w:lang w:eastAsia="lv-LV"/>
              </w:rPr>
              <w:t xml:space="preserve"> piemēro vienkāršotās likvidācijas procesu, ja kapitālsabiedrībai </w:t>
            </w:r>
            <w:r w:rsidR="00912C72">
              <w:rPr>
                <w:rFonts w:ascii="Times New Roman" w:eastAsia="Times New Roman" w:hAnsi="Times New Roman" w:cs="Times New Roman"/>
                <w:sz w:val="24"/>
                <w:szCs w:val="24"/>
                <w:lang w:eastAsia="lv-LV"/>
              </w:rPr>
              <w:t>ilgāk par 3 mēnešiem nav valdes.</w:t>
            </w:r>
          </w:p>
          <w:p w14:paraId="335C4108" w14:textId="77777777" w:rsidR="00912C72" w:rsidRPr="00912C72" w:rsidRDefault="00912C72" w:rsidP="00912C72">
            <w:pPr>
              <w:pStyle w:val="Sarakstarindkopa"/>
              <w:spacing w:after="0" w:line="240" w:lineRule="auto"/>
              <w:ind w:left="0"/>
              <w:jc w:val="both"/>
              <w:rPr>
                <w:rFonts w:ascii="Times New Roman" w:eastAsia="Times New Roman" w:hAnsi="Times New Roman" w:cs="Times New Roman"/>
                <w:sz w:val="24"/>
                <w:szCs w:val="24"/>
                <w:lang w:eastAsia="lv-LV"/>
              </w:rPr>
            </w:pPr>
          </w:p>
          <w:p w14:paraId="335C4109" w14:textId="77777777" w:rsidR="00651745" w:rsidRPr="00912C72" w:rsidRDefault="00651745" w:rsidP="00912C72">
            <w:pPr>
              <w:pStyle w:val="Sarakstarindkopa"/>
              <w:numPr>
                <w:ilvl w:val="0"/>
                <w:numId w:val="5"/>
              </w:numPr>
              <w:spacing w:after="0" w:line="240" w:lineRule="auto"/>
              <w:ind w:left="0" w:hanging="30"/>
              <w:jc w:val="both"/>
              <w:rPr>
                <w:rFonts w:ascii="Times New Roman" w:eastAsia="Times New Roman" w:hAnsi="Times New Roman" w:cs="Times New Roman"/>
                <w:sz w:val="24"/>
                <w:szCs w:val="24"/>
                <w:lang w:eastAsia="lv-LV"/>
              </w:rPr>
            </w:pPr>
            <w:r w:rsidRPr="00912C72">
              <w:rPr>
                <w:rFonts w:ascii="Times New Roman" w:eastAsia="Times New Roman" w:hAnsi="Times New Roman" w:cs="Times New Roman"/>
                <w:sz w:val="24"/>
                <w:szCs w:val="24"/>
                <w:lang w:eastAsia="lv-LV"/>
              </w:rPr>
              <w:t xml:space="preserve">Preventīvai tiesību subjektu kontrolei riska vadības sistēmas ietvaros noteikts, ka: </w:t>
            </w:r>
          </w:p>
          <w:p w14:paraId="335C410A" w14:textId="77777777" w:rsidR="00912C72" w:rsidRDefault="00BE7C79" w:rsidP="00912C72">
            <w:pPr>
              <w:pStyle w:val="Sarakstarindkopa"/>
              <w:numPr>
                <w:ilvl w:val="1"/>
                <w:numId w:val="5"/>
              </w:numPr>
              <w:spacing w:after="0" w:line="240" w:lineRule="auto"/>
              <w:ind w:left="537" w:firstLine="0"/>
              <w:jc w:val="both"/>
              <w:rPr>
                <w:rFonts w:ascii="Times New Roman" w:eastAsia="Times New Roman" w:hAnsi="Times New Roman" w:cs="Times New Roman"/>
                <w:sz w:val="24"/>
                <w:szCs w:val="24"/>
                <w:lang w:eastAsia="lv-LV"/>
              </w:rPr>
            </w:pPr>
            <w:r w:rsidRPr="00912C72">
              <w:rPr>
                <w:rFonts w:ascii="Times New Roman" w:eastAsia="Times New Roman" w:hAnsi="Times New Roman" w:cs="Times New Roman"/>
                <w:sz w:val="24"/>
                <w:szCs w:val="24"/>
                <w:lang w:eastAsia="lv-LV"/>
              </w:rPr>
              <w:t xml:space="preserve">visa </w:t>
            </w:r>
            <w:r w:rsidR="00CD46AC" w:rsidRPr="00912C72">
              <w:rPr>
                <w:rFonts w:ascii="Times New Roman" w:eastAsia="Times New Roman" w:hAnsi="Times New Roman" w:cs="Times New Roman"/>
                <w:sz w:val="24"/>
                <w:szCs w:val="24"/>
                <w:lang w:eastAsia="lv-LV"/>
              </w:rPr>
              <w:t>UR</w:t>
            </w:r>
            <w:r w:rsidRPr="00912C72">
              <w:rPr>
                <w:rFonts w:ascii="Times New Roman" w:eastAsia="Times New Roman" w:hAnsi="Times New Roman" w:cs="Times New Roman"/>
                <w:sz w:val="24"/>
                <w:szCs w:val="24"/>
                <w:lang w:eastAsia="lv-LV"/>
              </w:rPr>
              <w:t xml:space="preserve"> reģistros esošā informācija tiek tiešsaistes datu pārraides režīmā nodota VID;</w:t>
            </w:r>
          </w:p>
          <w:p w14:paraId="335C410B" w14:textId="77777777" w:rsidR="00912C72" w:rsidRDefault="00CD46AC" w:rsidP="00912C72">
            <w:pPr>
              <w:pStyle w:val="Sarakstarindkopa"/>
              <w:numPr>
                <w:ilvl w:val="1"/>
                <w:numId w:val="5"/>
              </w:numPr>
              <w:spacing w:after="0" w:line="240" w:lineRule="auto"/>
              <w:ind w:left="537" w:firstLine="0"/>
              <w:jc w:val="both"/>
              <w:rPr>
                <w:rFonts w:ascii="Times New Roman" w:eastAsia="Times New Roman" w:hAnsi="Times New Roman" w:cs="Times New Roman"/>
                <w:sz w:val="24"/>
                <w:szCs w:val="24"/>
                <w:lang w:eastAsia="lv-LV"/>
              </w:rPr>
            </w:pPr>
            <w:r w:rsidRPr="00912C72">
              <w:rPr>
                <w:rFonts w:ascii="Times New Roman" w:eastAsia="Times New Roman" w:hAnsi="Times New Roman" w:cs="Times New Roman"/>
                <w:sz w:val="24"/>
                <w:szCs w:val="24"/>
                <w:lang w:eastAsia="lv-LV"/>
              </w:rPr>
              <w:t>virknei komercreģistrā iesniedzamo dokumentu noteikta obligāta prasība parakstus apliecināt notariāli (zvērināts notārs, UR amatpersona, elektroniskais paraksts un laika zīmogs);</w:t>
            </w:r>
          </w:p>
          <w:p w14:paraId="335C410C" w14:textId="77777777" w:rsidR="00912C72" w:rsidRDefault="00CD46AC" w:rsidP="00912C72">
            <w:pPr>
              <w:pStyle w:val="Sarakstarindkopa"/>
              <w:numPr>
                <w:ilvl w:val="1"/>
                <w:numId w:val="5"/>
              </w:numPr>
              <w:spacing w:after="0" w:line="240" w:lineRule="auto"/>
              <w:ind w:left="537" w:firstLine="0"/>
              <w:jc w:val="both"/>
              <w:rPr>
                <w:rFonts w:ascii="Times New Roman" w:eastAsia="Times New Roman" w:hAnsi="Times New Roman" w:cs="Times New Roman"/>
                <w:sz w:val="24"/>
                <w:szCs w:val="24"/>
                <w:lang w:eastAsia="lv-LV"/>
              </w:rPr>
            </w:pPr>
            <w:r w:rsidRPr="00912C72">
              <w:rPr>
                <w:rFonts w:ascii="Times New Roman" w:eastAsia="Times New Roman" w:hAnsi="Times New Roman" w:cs="Times New Roman"/>
                <w:sz w:val="24"/>
                <w:szCs w:val="24"/>
                <w:lang w:eastAsia="lv-LV"/>
              </w:rPr>
              <w:t>UR</w:t>
            </w:r>
            <w:r w:rsidR="00BE7C79" w:rsidRPr="00912C72">
              <w:rPr>
                <w:rFonts w:ascii="Times New Roman" w:eastAsia="Times New Roman" w:hAnsi="Times New Roman" w:cs="Times New Roman"/>
                <w:sz w:val="24"/>
                <w:szCs w:val="24"/>
                <w:lang w:eastAsia="lv-LV"/>
              </w:rPr>
              <w:t xml:space="preserve"> noteikta īpaša iekšējā kārtība paaugstināta riska lietu izskatīšanai;</w:t>
            </w:r>
          </w:p>
          <w:p w14:paraId="335C410D" w14:textId="77777777" w:rsidR="00912C72" w:rsidRDefault="00CD46AC" w:rsidP="00912C72">
            <w:pPr>
              <w:pStyle w:val="Sarakstarindkopa"/>
              <w:numPr>
                <w:ilvl w:val="1"/>
                <w:numId w:val="5"/>
              </w:numPr>
              <w:spacing w:after="0" w:line="240" w:lineRule="auto"/>
              <w:ind w:left="537" w:firstLine="0"/>
              <w:jc w:val="both"/>
              <w:rPr>
                <w:rFonts w:ascii="Times New Roman" w:eastAsia="Times New Roman" w:hAnsi="Times New Roman" w:cs="Times New Roman"/>
                <w:sz w:val="24"/>
                <w:szCs w:val="24"/>
                <w:lang w:eastAsia="lv-LV"/>
              </w:rPr>
            </w:pPr>
            <w:r w:rsidRPr="00912C72">
              <w:rPr>
                <w:rFonts w:ascii="Times New Roman" w:eastAsia="Times New Roman" w:hAnsi="Times New Roman" w:cs="Times New Roman"/>
                <w:sz w:val="24"/>
                <w:szCs w:val="24"/>
                <w:lang w:eastAsia="lv-LV"/>
              </w:rPr>
              <w:t>j</w:t>
            </w:r>
            <w:r w:rsidR="00BE7C79" w:rsidRPr="00912C72">
              <w:rPr>
                <w:rFonts w:ascii="Times New Roman" w:eastAsia="Times New Roman" w:hAnsi="Times New Roman" w:cs="Times New Roman"/>
                <w:sz w:val="24"/>
                <w:szCs w:val="24"/>
                <w:lang w:eastAsia="lv-LV"/>
              </w:rPr>
              <w:t>ebkura persona var pieteikties “Pieteikto i</w:t>
            </w:r>
            <w:r w:rsidRPr="00912C72">
              <w:rPr>
                <w:rFonts w:ascii="Times New Roman" w:eastAsia="Times New Roman" w:hAnsi="Times New Roman" w:cs="Times New Roman"/>
                <w:sz w:val="24"/>
                <w:szCs w:val="24"/>
                <w:lang w:eastAsia="lv-LV"/>
              </w:rPr>
              <w:t>zmaiņu ziņotājam” par jebkuru UR</w:t>
            </w:r>
            <w:r w:rsidR="00BE7C79" w:rsidRPr="00912C72">
              <w:rPr>
                <w:rFonts w:ascii="Times New Roman" w:eastAsia="Times New Roman" w:hAnsi="Times New Roman" w:cs="Times New Roman"/>
                <w:sz w:val="24"/>
                <w:szCs w:val="24"/>
                <w:lang w:eastAsia="lv-LV"/>
              </w:rPr>
              <w:t xml:space="preserve"> reģistrēto subjektu, saņemot paziņojumu, ja iesniegts kāds izmaiņu pieteikums</w:t>
            </w:r>
            <w:r w:rsidRPr="00912C72">
              <w:rPr>
                <w:rFonts w:ascii="Times New Roman" w:eastAsia="Times New Roman" w:hAnsi="Times New Roman" w:cs="Times New Roman"/>
                <w:sz w:val="24"/>
                <w:szCs w:val="24"/>
                <w:lang w:eastAsia="lv-LV"/>
              </w:rPr>
              <w:t xml:space="preserve"> attiecīgā subjekta reģistrācijas lietā</w:t>
            </w:r>
            <w:r w:rsidR="00BE7C79" w:rsidRPr="00912C72">
              <w:rPr>
                <w:rFonts w:ascii="Times New Roman" w:eastAsia="Times New Roman" w:hAnsi="Times New Roman" w:cs="Times New Roman"/>
                <w:sz w:val="24"/>
                <w:szCs w:val="24"/>
                <w:lang w:eastAsia="lv-LV"/>
              </w:rPr>
              <w:t>;</w:t>
            </w:r>
          </w:p>
          <w:p w14:paraId="335C410E" w14:textId="77777777" w:rsidR="00444DF8" w:rsidRDefault="00CD46AC" w:rsidP="00912C72">
            <w:pPr>
              <w:pStyle w:val="Sarakstarindkopa"/>
              <w:numPr>
                <w:ilvl w:val="1"/>
                <w:numId w:val="5"/>
              </w:numPr>
              <w:spacing w:after="0" w:line="240" w:lineRule="auto"/>
              <w:ind w:left="537" w:firstLine="0"/>
              <w:jc w:val="both"/>
              <w:rPr>
                <w:rFonts w:ascii="Times New Roman" w:eastAsia="Times New Roman" w:hAnsi="Times New Roman" w:cs="Times New Roman"/>
                <w:sz w:val="24"/>
                <w:szCs w:val="24"/>
                <w:lang w:eastAsia="lv-LV"/>
              </w:rPr>
            </w:pPr>
            <w:r w:rsidRPr="00912C72">
              <w:rPr>
                <w:rFonts w:ascii="Times New Roman" w:eastAsia="Times New Roman" w:hAnsi="Times New Roman" w:cs="Times New Roman"/>
                <w:sz w:val="24"/>
                <w:szCs w:val="24"/>
                <w:lang w:eastAsia="lv-LV"/>
              </w:rPr>
              <w:t>n</w:t>
            </w:r>
            <w:r w:rsidR="00BE7C79" w:rsidRPr="00912C72">
              <w:rPr>
                <w:rFonts w:ascii="Times New Roman" w:eastAsia="Times New Roman" w:hAnsi="Times New Roman" w:cs="Times New Roman"/>
                <w:sz w:val="24"/>
                <w:szCs w:val="24"/>
                <w:lang w:eastAsia="lv-LV"/>
              </w:rPr>
              <w:t>o 20</w:t>
            </w:r>
            <w:r w:rsidRPr="00912C72">
              <w:rPr>
                <w:rFonts w:ascii="Times New Roman" w:eastAsia="Times New Roman" w:hAnsi="Times New Roman" w:cs="Times New Roman"/>
                <w:sz w:val="24"/>
                <w:szCs w:val="24"/>
                <w:lang w:eastAsia="lv-LV"/>
              </w:rPr>
              <w:t xml:space="preserve">16.gada 1.jūlija – VID </w:t>
            </w:r>
            <w:r w:rsidR="00BE7C79" w:rsidRPr="00912C72">
              <w:rPr>
                <w:rFonts w:ascii="Times New Roman" w:eastAsia="Times New Roman" w:hAnsi="Times New Roman" w:cs="Times New Roman"/>
                <w:sz w:val="24"/>
                <w:szCs w:val="24"/>
                <w:lang w:eastAsia="lv-LV"/>
              </w:rPr>
              <w:t xml:space="preserve">sarakstu ar </w:t>
            </w:r>
            <w:r w:rsidR="00730019" w:rsidRPr="00912C72">
              <w:rPr>
                <w:rFonts w:ascii="Times New Roman" w:eastAsia="Times New Roman" w:hAnsi="Times New Roman" w:cs="Times New Roman"/>
                <w:sz w:val="24"/>
                <w:szCs w:val="24"/>
                <w:lang w:eastAsia="lv-LV"/>
              </w:rPr>
              <w:t>tiesību subjektiem</w:t>
            </w:r>
            <w:r w:rsidR="00BE7C79" w:rsidRPr="00912C72">
              <w:rPr>
                <w:rFonts w:ascii="Times New Roman" w:eastAsia="Times New Roman" w:hAnsi="Times New Roman" w:cs="Times New Roman"/>
                <w:sz w:val="24"/>
                <w:szCs w:val="24"/>
                <w:lang w:eastAsia="lv-LV"/>
              </w:rPr>
              <w:t>, kuriem ir plānots vai n</w:t>
            </w:r>
            <w:r w:rsidRPr="00912C72">
              <w:rPr>
                <w:rFonts w:ascii="Times New Roman" w:eastAsia="Times New Roman" w:hAnsi="Times New Roman" w:cs="Times New Roman"/>
                <w:sz w:val="24"/>
                <w:szCs w:val="24"/>
                <w:lang w:eastAsia="lv-LV"/>
              </w:rPr>
              <w:t>otiek nodokļu audits un iesniedz UR, savukārt UR gadījumā, ja sarakstā iekļautais komersants iesniedz</w:t>
            </w:r>
            <w:r w:rsidR="00BE7C79" w:rsidRPr="00912C72">
              <w:rPr>
                <w:rFonts w:ascii="Times New Roman" w:eastAsia="Times New Roman" w:hAnsi="Times New Roman" w:cs="Times New Roman"/>
                <w:sz w:val="24"/>
                <w:szCs w:val="24"/>
                <w:lang w:eastAsia="lv-LV"/>
              </w:rPr>
              <w:t xml:space="preserve"> pieteikumu par izmaiņām komercreģistrā ierakstāmajās ziņās, </w:t>
            </w:r>
            <w:r w:rsidRPr="00912C72">
              <w:rPr>
                <w:rFonts w:ascii="Times New Roman" w:eastAsia="Times New Roman" w:hAnsi="Times New Roman" w:cs="Times New Roman"/>
                <w:sz w:val="24"/>
                <w:szCs w:val="24"/>
                <w:lang w:eastAsia="lv-LV"/>
              </w:rPr>
              <w:t xml:space="preserve">informē par to VID, tādejādi, VID iespējams preventīvi </w:t>
            </w:r>
            <w:r w:rsidR="00BE7C79" w:rsidRPr="00912C72">
              <w:rPr>
                <w:rFonts w:ascii="Times New Roman" w:eastAsia="Times New Roman" w:hAnsi="Times New Roman" w:cs="Times New Roman"/>
                <w:sz w:val="24"/>
                <w:szCs w:val="24"/>
                <w:lang w:eastAsia="lv-LV"/>
              </w:rPr>
              <w:t>lemt par nodrošinājuma līdzekļa piemērošanu, liedzot reģistrēt no</w:t>
            </w:r>
            <w:r w:rsidRPr="00912C72">
              <w:rPr>
                <w:rFonts w:ascii="Times New Roman" w:eastAsia="Times New Roman" w:hAnsi="Times New Roman" w:cs="Times New Roman"/>
                <w:sz w:val="24"/>
                <w:szCs w:val="24"/>
                <w:lang w:eastAsia="lv-LV"/>
              </w:rPr>
              <w:t>teiktas izm</w:t>
            </w:r>
            <w:r w:rsidR="00894854" w:rsidRPr="00912C72">
              <w:rPr>
                <w:rFonts w:ascii="Times New Roman" w:eastAsia="Times New Roman" w:hAnsi="Times New Roman" w:cs="Times New Roman"/>
                <w:sz w:val="24"/>
                <w:szCs w:val="24"/>
                <w:lang w:eastAsia="lv-LV"/>
              </w:rPr>
              <w:t>aiņas komercreģistrā.</w:t>
            </w:r>
          </w:p>
          <w:p w14:paraId="335C410F" w14:textId="77777777" w:rsidR="00912C72" w:rsidRPr="00912C72" w:rsidRDefault="00912C72" w:rsidP="00912C72">
            <w:pPr>
              <w:pStyle w:val="Sarakstarindkopa"/>
              <w:spacing w:after="0" w:line="240" w:lineRule="auto"/>
              <w:ind w:left="0"/>
              <w:jc w:val="both"/>
              <w:rPr>
                <w:rFonts w:ascii="Times New Roman" w:eastAsia="Times New Roman" w:hAnsi="Times New Roman" w:cs="Times New Roman"/>
                <w:sz w:val="24"/>
                <w:szCs w:val="24"/>
                <w:lang w:eastAsia="lv-LV"/>
              </w:rPr>
            </w:pPr>
          </w:p>
          <w:p w14:paraId="335C4110" w14:textId="45DA75AE" w:rsidR="00C3503F" w:rsidRPr="0007358F" w:rsidRDefault="00444DF8" w:rsidP="00894854">
            <w:pPr>
              <w:spacing w:after="0" w:line="240" w:lineRule="auto"/>
              <w:ind w:firstLine="284"/>
              <w:jc w:val="both"/>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Lai</w:t>
            </w:r>
            <w:r w:rsidR="00894854" w:rsidRPr="0007358F">
              <w:rPr>
                <w:rFonts w:ascii="Times New Roman" w:eastAsia="Times New Roman" w:hAnsi="Times New Roman" w:cs="Times New Roman"/>
                <w:sz w:val="24"/>
                <w:szCs w:val="24"/>
                <w:lang w:eastAsia="lv-LV"/>
              </w:rPr>
              <w:t xml:space="preserve"> gan UR pašreizējā risku vadības sistēma ietver virkni pasākumu negodprātīgu personu izslēgšanai no </w:t>
            </w:r>
            <w:proofErr w:type="spellStart"/>
            <w:r w:rsidR="00894854" w:rsidRPr="0007358F">
              <w:rPr>
                <w:rFonts w:ascii="Times New Roman" w:eastAsia="Times New Roman" w:hAnsi="Times New Roman" w:cs="Times New Roman"/>
                <w:sz w:val="24"/>
                <w:szCs w:val="24"/>
                <w:lang w:eastAsia="lv-LV"/>
              </w:rPr>
              <w:t>komerctiesiskās</w:t>
            </w:r>
            <w:proofErr w:type="spellEnd"/>
            <w:r w:rsidR="00894854" w:rsidRPr="0007358F">
              <w:rPr>
                <w:rFonts w:ascii="Times New Roman" w:eastAsia="Times New Roman" w:hAnsi="Times New Roman" w:cs="Times New Roman"/>
                <w:sz w:val="24"/>
                <w:szCs w:val="24"/>
                <w:lang w:eastAsia="lv-LV"/>
              </w:rPr>
              <w:t xml:space="preserve"> vides, tādejādi uzlabojot tās drošību, UR risku vadības ietvaros nav mehānismu</w:t>
            </w:r>
            <w:r w:rsidR="007311A3">
              <w:rPr>
                <w:rFonts w:ascii="Times New Roman" w:eastAsia="Times New Roman" w:hAnsi="Times New Roman" w:cs="Times New Roman"/>
                <w:sz w:val="24"/>
                <w:szCs w:val="24"/>
                <w:lang w:eastAsia="lv-LV"/>
              </w:rPr>
              <w:t xml:space="preserve"> kā pārbaudīt</w:t>
            </w:r>
            <w:r w:rsidR="00984DBB">
              <w:rPr>
                <w:rFonts w:ascii="Times New Roman" w:eastAsia="Times New Roman" w:hAnsi="Times New Roman" w:cs="Times New Roman"/>
                <w:sz w:val="24"/>
                <w:szCs w:val="24"/>
                <w:lang w:eastAsia="lv-LV"/>
              </w:rPr>
              <w:t xml:space="preserve">, piemēram, </w:t>
            </w:r>
            <w:r w:rsidR="007311A3">
              <w:rPr>
                <w:rFonts w:ascii="Times New Roman" w:eastAsia="Times New Roman" w:hAnsi="Times New Roman" w:cs="Times New Roman"/>
                <w:sz w:val="24"/>
                <w:szCs w:val="24"/>
                <w:lang w:eastAsia="lv-LV"/>
              </w:rPr>
              <w:t xml:space="preserve">dalībnieku un/vai </w:t>
            </w:r>
            <w:proofErr w:type="spellStart"/>
            <w:r w:rsidR="007311A3">
              <w:rPr>
                <w:rFonts w:ascii="Times New Roman" w:eastAsia="Times New Roman" w:hAnsi="Times New Roman" w:cs="Times New Roman"/>
                <w:sz w:val="24"/>
                <w:szCs w:val="24"/>
                <w:lang w:eastAsia="lv-LV"/>
              </w:rPr>
              <w:t>pārstāvēttiesīgo</w:t>
            </w:r>
            <w:proofErr w:type="spellEnd"/>
            <w:r w:rsidR="007311A3">
              <w:rPr>
                <w:rFonts w:ascii="Times New Roman" w:eastAsia="Times New Roman" w:hAnsi="Times New Roman" w:cs="Times New Roman"/>
                <w:sz w:val="24"/>
                <w:szCs w:val="24"/>
                <w:lang w:eastAsia="lv-LV"/>
              </w:rPr>
              <w:t xml:space="preserve"> personu patieso vēlmi un iespējas </w:t>
            </w:r>
            <w:r w:rsidR="00682BE4">
              <w:rPr>
                <w:rFonts w:ascii="Times New Roman" w:eastAsia="Times New Roman" w:hAnsi="Times New Roman" w:cs="Times New Roman"/>
                <w:sz w:val="24"/>
                <w:szCs w:val="24"/>
                <w:lang w:eastAsia="lv-LV"/>
              </w:rPr>
              <w:t>nodarboties ar komercdarbību.</w:t>
            </w:r>
            <w:r w:rsidR="00894854" w:rsidRPr="0007358F">
              <w:rPr>
                <w:rFonts w:ascii="Times New Roman" w:eastAsia="Times New Roman" w:hAnsi="Times New Roman" w:cs="Times New Roman"/>
                <w:sz w:val="24"/>
                <w:szCs w:val="24"/>
                <w:lang w:eastAsia="lv-LV"/>
              </w:rPr>
              <w:t xml:space="preserve"> Šāda mehānisma ieviešana ir apgrūtināta gan ņemot vērā UR normatīvajos aktos noteikto kompetenci – tiesību subjektu, juridisko faktu reģistrācija un informācijas sniegšana par tiem, gan UR pieejamos informācijas resursus. </w:t>
            </w:r>
            <w:r w:rsidR="00C3503F" w:rsidRPr="0007358F">
              <w:rPr>
                <w:rFonts w:ascii="Times New Roman" w:eastAsia="Times New Roman" w:hAnsi="Times New Roman" w:cs="Times New Roman"/>
                <w:sz w:val="24"/>
                <w:szCs w:val="24"/>
                <w:lang w:eastAsia="lv-LV"/>
              </w:rPr>
              <w:t>Jāņem vērā, ka UR rīcībā ir pieteicēja norādītā informācija, citās valsts informācijas sistēmās esošā informācija atbilstoši normatīvajiem aktiem</w:t>
            </w:r>
            <w:r w:rsidRPr="0007358F">
              <w:rPr>
                <w:rFonts w:ascii="Times New Roman" w:eastAsia="Times New Roman" w:hAnsi="Times New Roman" w:cs="Times New Roman"/>
                <w:sz w:val="24"/>
                <w:szCs w:val="24"/>
                <w:lang w:eastAsia="lv-LV"/>
              </w:rPr>
              <w:t xml:space="preserve">, tai skaitā </w:t>
            </w:r>
            <w:r w:rsidR="00C3503F" w:rsidRPr="0007358F">
              <w:rPr>
                <w:rFonts w:ascii="Times New Roman" w:eastAsia="Times New Roman" w:hAnsi="Times New Roman" w:cs="Times New Roman"/>
                <w:sz w:val="24"/>
                <w:szCs w:val="24"/>
                <w:lang w:eastAsia="lv-LV"/>
              </w:rPr>
              <w:t xml:space="preserve">citu valsts iestāžu, </w:t>
            </w:r>
            <w:r w:rsidR="00C3503F" w:rsidRPr="0007358F">
              <w:rPr>
                <w:rFonts w:ascii="Times New Roman" w:eastAsia="Times New Roman" w:hAnsi="Times New Roman" w:cs="Times New Roman"/>
                <w:sz w:val="24"/>
                <w:szCs w:val="24"/>
                <w:lang w:eastAsia="lv-LV"/>
              </w:rPr>
              <w:lastRenderedPageBreak/>
              <w:t>izmeklēšanas darbību, rezultātā pieņemtie lēmumi</w:t>
            </w:r>
            <w:r w:rsidRPr="0007358F">
              <w:rPr>
                <w:rFonts w:ascii="Times New Roman" w:eastAsia="Times New Roman" w:hAnsi="Times New Roman" w:cs="Times New Roman"/>
                <w:sz w:val="24"/>
                <w:szCs w:val="24"/>
                <w:lang w:eastAsia="lv-LV"/>
              </w:rPr>
              <w:t>, taču ne izmeklēšanas gaitā savāktā informācija</w:t>
            </w:r>
            <w:r w:rsidR="00C3503F" w:rsidRPr="0007358F">
              <w:rPr>
                <w:rFonts w:ascii="Times New Roman" w:eastAsia="Times New Roman" w:hAnsi="Times New Roman" w:cs="Times New Roman"/>
                <w:sz w:val="24"/>
                <w:szCs w:val="24"/>
                <w:lang w:eastAsia="lv-LV"/>
              </w:rPr>
              <w:t xml:space="preserve">. </w:t>
            </w:r>
            <w:r w:rsidRPr="0007358F">
              <w:rPr>
                <w:rFonts w:ascii="Times New Roman" w:eastAsia="Times New Roman" w:hAnsi="Times New Roman" w:cs="Times New Roman"/>
                <w:sz w:val="24"/>
                <w:szCs w:val="24"/>
                <w:lang w:eastAsia="lv-LV"/>
              </w:rPr>
              <w:t>Tāpat</w:t>
            </w:r>
            <w:r w:rsidR="00C3503F" w:rsidRPr="0007358F">
              <w:rPr>
                <w:rFonts w:ascii="Times New Roman" w:eastAsia="Times New Roman" w:hAnsi="Times New Roman" w:cs="Times New Roman"/>
                <w:sz w:val="24"/>
                <w:szCs w:val="24"/>
                <w:lang w:eastAsia="lv-LV"/>
              </w:rPr>
              <w:t xml:space="preserve"> UR nav </w:t>
            </w:r>
            <w:r w:rsidRPr="0007358F">
              <w:rPr>
                <w:rFonts w:ascii="Times New Roman" w:eastAsia="Times New Roman" w:hAnsi="Times New Roman" w:cs="Times New Roman"/>
                <w:sz w:val="24"/>
                <w:szCs w:val="24"/>
                <w:lang w:eastAsia="lv-LV"/>
              </w:rPr>
              <w:t xml:space="preserve">ne </w:t>
            </w:r>
            <w:r w:rsidR="00C3503F" w:rsidRPr="0007358F">
              <w:rPr>
                <w:rFonts w:ascii="Times New Roman" w:eastAsia="Times New Roman" w:hAnsi="Times New Roman" w:cs="Times New Roman"/>
                <w:sz w:val="24"/>
                <w:szCs w:val="24"/>
                <w:lang w:eastAsia="lv-LV"/>
              </w:rPr>
              <w:t xml:space="preserve">resursu, </w:t>
            </w:r>
            <w:r w:rsidRPr="0007358F">
              <w:rPr>
                <w:rFonts w:ascii="Times New Roman" w:eastAsia="Times New Roman" w:hAnsi="Times New Roman" w:cs="Times New Roman"/>
                <w:sz w:val="24"/>
                <w:szCs w:val="24"/>
                <w:lang w:eastAsia="lv-LV"/>
              </w:rPr>
              <w:t xml:space="preserve">ne kompetences, </w:t>
            </w:r>
            <w:r w:rsidR="00C3503F" w:rsidRPr="0007358F">
              <w:rPr>
                <w:rFonts w:ascii="Times New Roman" w:eastAsia="Times New Roman" w:hAnsi="Times New Roman" w:cs="Times New Roman"/>
                <w:sz w:val="24"/>
                <w:szCs w:val="24"/>
                <w:lang w:eastAsia="lv-LV"/>
              </w:rPr>
              <w:t>lai konstatētu personas nolūku nodarboties ar saimniecisko darbību</w:t>
            </w:r>
            <w:r w:rsidRPr="0007358F">
              <w:rPr>
                <w:rFonts w:ascii="Times New Roman" w:eastAsia="Times New Roman" w:hAnsi="Times New Roman" w:cs="Times New Roman"/>
                <w:sz w:val="24"/>
                <w:szCs w:val="24"/>
                <w:lang w:eastAsia="lv-LV"/>
              </w:rPr>
              <w:t xml:space="preserve"> un iespējamus apdraudējumus zaudējumu nodarīšanai valstij nenomaksāto nodokļu</w:t>
            </w:r>
            <w:r w:rsidR="00984DBB">
              <w:rPr>
                <w:rFonts w:ascii="Times New Roman" w:eastAsia="Times New Roman" w:hAnsi="Times New Roman" w:cs="Times New Roman"/>
                <w:sz w:val="24"/>
                <w:szCs w:val="24"/>
                <w:lang w:eastAsia="lv-LV"/>
              </w:rPr>
              <w:t xml:space="preserve"> vai kādā citā</w:t>
            </w:r>
            <w:r w:rsidRPr="0007358F">
              <w:rPr>
                <w:rFonts w:ascii="Times New Roman" w:eastAsia="Times New Roman" w:hAnsi="Times New Roman" w:cs="Times New Roman"/>
                <w:sz w:val="24"/>
                <w:szCs w:val="24"/>
                <w:lang w:eastAsia="lv-LV"/>
              </w:rPr>
              <w:t xml:space="preserve"> veidā.</w:t>
            </w:r>
          </w:p>
          <w:p w14:paraId="335C4111" w14:textId="6C72A2FB" w:rsidR="006521CC" w:rsidRPr="0007358F" w:rsidRDefault="00444DF8" w:rsidP="0011088B">
            <w:pPr>
              <w:spacing w:after="0" w:line="240" w:lineRule="auto"/>
              <w:ind w:firstLine="284"/>
              <w:jc w:val="both"/>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Vienlaikus, p</w:t>
            </w:r>
            <w:r w:rsidR="00894854" w:rsidRPr="0007358F">
              <w:rPr>
                <w:rFonts w:ascii="Times New Roman" w:eastAsia="Times New Roman" w:hAnsi="Times New Roman" w:cs="Times New Roman"/>
                <w:sz w:val="24"/>
                <w:szCs w:val="24"/>
                <w:lang w:eastAsia="lv-LV"/>
              </w:rPr>
              <w:t>ieaugot gan informācijas tehnoloģiju izmantošanas iespējām, gan datu apmaiņas kvalitātei, efektivitātei un ātrumam starp valsts iestādēm</w:t>
            </w:r>
            <w:r w:rsidRPr="0007358F">
              <w:rPr>
                <w:rFonts w:ascii="Times New Roman" w:eastAsia="Times New Roman" w:hAnsi="Times New Roman" w:cs="Times New Roman"/>
                <w:sz w:val="24"/>
                <w:szCs w:val="24"/>
                <w:lang w:eastAsia="lv-LV"/>
              </w:rPr>
              <w:t>,</w:t>
            </w:r>
            <w:r w:rsidR="00C3503F" w:rsidRPr="0007358F">
              <w:rPr>
                <w:rFonts w:ascii="Times New Roman" w:eastAsia="Times New Roman" w:hAnsi="Times New Roman" w:cs="Times New Roman"/>
                <w:sz w:val="24"/>
                <w:szCs w:val="24"/>
                <w:lang w:eastAsia="lv-LV"/>
              </w:rPr>
              <w:t xml:space="preserve"> pavērušās līdz šim nebijušas iespējas </w:t>
            </w:r>
            <w:r w:rsidRPr="0007358F">
              <w:rPr>
                <w:rFonts w:ascii="Times New Roman" w:eastAsia="Times New Roman" w:hAnsi="Times New Roman" w:cs="Times New Roman"/>
                <w:sz w:val="24"/>
                <w:szCs w:val="24"/>
                <w:lang w:eastAsia="lv-LV"/>
              </w:rPr>
              <w:t>ātri un efektīvi apmainīties ar informāciju starp iestādēm, tādejādi ļaujot tām izvērtēt katrai savā pārziņā esošo informāciju un pieņemt visas valsts interesēm</w:t>
            </w:r>
            <w:r w:rsidR="0001571C">
              <w:rPr>
                <w:rFonts w:ascii="Times New Roman" w:eastAsia="Times New Roman" w:hAnsi="Times New Roman" w:cs="Times New Roman"/>
                <w:sz w:val="24"/>
                <w:szCs w:val="24"/>
                <w:lang w:eastAsia="lv-LV"/>
              </w:rPr>
              <w:t xml:space="preserve"> atbilstošus</w:t>
            </w:r>
            <w:r w:rsidRPr="0007358F">
              <w:rPr>
                <w:rFonts w:ascii="Times New Roman" w:eastAsia="Times New Roman" w:hAnsi="Times New Roman" w:cs="Times New Roman"/>
                <w:sz w:val="24"/>
                <w:szCs w:val="24"/>
                <w:lang w:eastAsia="lv-LV"/>
              </w:rPr>
              <w:t>, taču katras iestādes kompetencē balstītus lēmumus. Piemēram, atbilstoši grozījumiem likumā “Par nodokļiem un nodevām”, kas stājās spēkā</w:t>
            </w:r>
            <w:r w:rsidR="00AF536A">
              <w:rPr>
                <w:rFonts w:ascii="Times New Roman" w:eastAsia="Times New Roman" w:hAnsi="Times New Roman" w:cs="Times New Roman"/>
                <w:sz w:val="24"/>
                <w:szCs w:val="24"/>
                <w:lang w:eastAsia="lv-LV"/>
              </w:rPr>
              <w:t xml:space="preserve"> 2016.gada 1.janvārī</w:t>
            </w:r>
            <w:r w:rsidR="0007358F">
              <w:rPr>
                <w:rFonts w:ascii="Times New Roman" w:eastAsia="Times New Roman" w:hAnsi="Times New Roman" w:cs="Times New Roman"/>
                <w:sz w:val="24"/>
                <w:szCs w:val="24"/>
                <w:lang w:eastAsia="lv-LV"/>
              </w:rPr>
              <w:t>, no</w:t>
            </w:r>
            <w:r w:rsidRPr="0007358F">
              <w:rPr>
                <w:rFonts w:ascii="Times New Roman" w:eastAsia="Times New Roman" w:hAnsi="Times New Roman" w:cs="Times New Roman"/>
                <w:sz w:val="24"/>
                <w:szCs w:val="24"/>
                <w:lang w:eastAsia="lv-LV"/>
              </w:rPr>
              <w:t xml:space="preserve"> </w:t>
            </w:r>
            <w:r w:rsidR="0007358F">
              <w:rPr>
                <w:rFonts w:ascii="Times New Roman" w:eastAsia="Times New Roman" w:hAnsi="Times New Roman" w:cs="Times New Roman"/>
                <w:sz w:val="24"/>
                <w:szCs w:val="24"/>
                <w:lang w:eastAsia="lv-LV"/>
              </w:rPr>
              <w:t>2016.gada 1.jūlija</w:t>
            </w:r>
            <w:r w:rsidRPr="0007358F">
              <w:rPr>
                <w:rFonts w:ascii="Times New Roman" w:eastAsia="Times New Roman" w:hAnsi="Times New Roman" w:cs="Times New Roman"/>
                <w:sz w:val="24"/>
                <w:szCs w:val="24"/>
                <w:lang w:eastAsia="lv-LV"/>
              </w:rPr>
              <w:t xml:space="preserve"> UR un VID veic savstarpēju informācijas apmaiņu, kuras rezultātā VID ir iespēja operatīvāk reaģēt uz iespējamiem pārkāpumiem no </w:t>
            </w:r>
            <w:r w:rsidR="005D4C5C">
              <w:rPr>
                <w:rFonts w:ascii="Times New Roman" w:eastAsia="Times New Roman" w:hAnsi="Times New Roman" w:cs="Times New Roman"/>
                <w:sz w:val="24"/>
                <w:szCs w:val="24"/>
                <w:lang w:eastAsia="lv-LV"/>
              </w:rPr>
              <w:t>tiesību subjektu</w:t>
            </w:r>
            <w:r w:rsidR="005D4C5C" w:rsidRPr="0007358F">
              <w:rPr>
                <w:rFonts w:ascii="Times New Roman" w:eastAsia="Times New Roman" w:hAnsi="Times New Roman" w:cs="Times New Roman"/>
                <w:sz w:val="24"/>
                <w:szCs w:val="24"/>
                <w:lang w:eastAsia="lv-LV"/>
              </w:rPr>
              <w:t xml:space="preserve"> </w:t>
            </w:r>
            <w:r w:rsidRPr="0007358F">
              <w:rPr>
                <w:rFonts w:ascii="Times New Roman" w:eastAsia="Times New Roman" w:hAnsi="Times New Roman" w:cs="Times New Roman"/>
                <w:sz w:val="24"/>
                <w:szCs w:val="24"/>
                <w:lang w:eastAsia="lv-LV"/>
              </w:rPr>
              <w:t>puses nodokļu nomaksā.</w:t>
            </w:r>
          </w:p>
          <w:p w14:paraId="335C4112" w14:textId="6C42F57B" w:rsidR="00D41B2A" w:rsidRPr="0007358F" w:rsidRDefault="00D14074" w:rsidP="00D41B2A">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Tā, piemēram, viens no</w:t>
            </w:r>
            <w:r w:rsidR="006521CC" w:rsidRPr="0007358F">
              <w:rPr>
                <w:rFonts w:ascii="Times New Roman" w:eastAsia="Times New Roman" w:hAnsi="Times New Roman" w:cs="Times New Roman"/>
                <w:sz w:val="24"/>
                <w:szCs w:val="24"/>
                <w:lang w:eastAsia="lv-LV"/>
              </w:rPr>
              <w:t xml:space="preserve"> VID galvenajiem uzdevumiem ir novērst un atklāt noziedzīgus nodarījumus valsts nodokļu, nodevu un citu valsts noteikto obligāto maksājumu jomā un muitas lietu jomā. </w:t>
            </w:r>
            <w:r w:rsidR="0011088B" w:rsidRPr="0007358F">
              <w:rPr>
                <w:rFonts w:ascii="Times New Roman" w:eastAsia="Times New Roman" w:hAnsi="Times New Roman" w:cs="Times New Roman"/>
                <w:sz w:val="24"/>
                <w:szCs w:val="24"/>
                <w:lang w:eastAsia="lv-LV"/>
              </w:rPr>
              <w:t xml:space="preserve"> Vienlaikus </w:t>
            </w:r>
            <w:r>
              <w:rPr>
                <w:rFonts w:ascii="Times New Roman" w:eastAsia="Times New Roman" w:hAnsi="Times New Roman" w:cs="Times New Roman"/>
                <w:sz w:val="24"/>
                <w:szCs w:val="24"/>
                <w:lang w:eastAsia="lv-LV"/>
              </w:rPr>
              <w:t xml:space="preserve">ne </w:t>
            </w:r>
            <w:r w:rsidR="0011088B" w:rsidRPr="0007358F">
              <w:rPr>
                <w:rFonts w:ascii="Times New Roman" w:eastAsia="Times New Roman" w:hAnsi="Times New Roman" w:cs="Times New Roman"/>
                <w:sz w:val="24"/>
                <w:szCs w:val="24"/>
                <w:lang w:eastAsia="lv-LV"/>
              </w:rPr>
              <w:t>VID</w:t>
            </w:r>
            <w:r>
              <w:rPr>
                <w:rFonts w:ascii="Times New Roman" w:eastAsia="Times New Roman" w:hAnsi="Times New Roman" w:cs="Times New Roman"/>
                <w:sz w:val="24"/>
                <w:szCs w:val="24"/>
                <w:lang w:eastAsia="lv-LV"/>
              </w:rPr>
              <w:t>, ne kādas citas kontroles institūcijas</w:t>
            </w:r>
            <w:r w:rsidR="0011088B" w:rsidRPr="0007358F">
              <w:rPr>
                <w:rFonts w:ascii="Times New Roman" w:eastAsia="Times New Roman" w:hAnsi="Times New Roman" w:cs="Times New Roman"/>
                <w:sz w:val="24"/>
                <w:szCs w:val="24"/>
                <w:lang w:eastAsia="lv-LV"/>
              </w:rPr>
              <w:t xml:space="preserve"> rīcībā nav informācijas par ierakstīšanai komercreģistrā pieteiktiem komersantiem vai pieteiktām izmaiņām, kas ietekmē komersanta pārvaldību un citus </w:t>
            </w:r>
            <w:r>
              <w:rPr>
                <w:rFonts w:ascii="Times New Roman" w:eastAsia="Times New Roman" w:hAnsi="Times New Roman" w:cs="Times New Roman"/>
                <w:sz w:val="24"/>
                <w:szCs w:val="24"/>
                <w:lang w:eastAsia="lv-LV"/>
              </w:rPr>
              <w:t>kompetento iestāžu</w:t>
            </w:r>
            <w:r w:rsidRPr="0007358F">
              <w:rPr>
                <w:rFonts w:ascii="Times New Roman" w:eastAsia="Times New Roman" w:hAnsi="Times New Roman" w:cs="Times New Roman"/>
                <w:sz w:val="24"/>
                <w:szCs w:val="24"/>
                <w:lang w:eastAsia="lv-LV"/>
              </w:rPr>
              <w:t xml:space="preserve"> </w:t>
            </w:r>
            <w:r w:rsidR="0011088B" w:rsidRPr="0007358F">
              <w:rPr>
                <w:rFonts w:ascii="Times New Roman" w:eastAsia="Times New Roman" w:hAnsi="Times New Roman" w:cs="Times New Roman"/>
                <w:sz w:val="24"/>
                <w:szCs w:val="24"/>
                <w:lang w:eastAsia="lv-LV"/>
              </w:rPr>
              <w:t>funkciju īstenošanā būtiskus apstākļus.</w:t>
            </w:r>
            <w:r w:rsidR="008D5243">
              <w:rPr>
                <w:rFonts w:ascii="Times New Roman" w:eastAsia="Times New Roman" w:hAnsi="Times New Roman" w:cs="Times New Roman"/>
                <w:sz w:val="24"/>
                <w:szCs w:val="24"/>
                <w:lang w:eastAsia="lv-LV"/>
              </w:rPr>
              <w:t xml:space="preserve"> Tādejādi </w:t>
            </w:r>
            <w:r>
              <w:rPr>
                <w:rFonts w:ascii="Times New Roman" w:eastAsia="Times New Roman" w:hAnsi="Times New Roman" w:cs="Times New Roman"/>
                <w:sz w:val="24"/>
                <w:szCs w:val="24"/>
                <w:lang w:eastAsia="lv-LV"/>
              </w:rPr>
              <w:t xml:space="preserve">kompetentajām iestādēm </w:t>
            </w:r>
            <w:r w:rsidR="008D5243">
              <w:rPr>
                <w:rFonts w:ascii="Times New Roman" w:eastAsia="Times New Roman" w:hAnsi="Times New Roman" w:cs="Times New Roman"/>
                <w:sz w:val="24"/>
                <w:szCs w:val="24"/>
                <w:lang w:eastAsia="lv-LV"/>
              </w:rPr>
              <w:t>nav iespējas preventīvi novērst fiktīvu komersantu reģistrāciju.</w:t>
            </w:r>
          </w:p>
          <w:p w14:paraId="335C4113" w14:textId="34784A9B" w:rsidR="00D41B2A" w:rsidRPr="0007358F" w:rsidRDefault="00444DF8" w:rsidP="00C54947">
            <w:pPr>
              <w:spacing w:after="0" w:line="240" w:lineRule="auto"/>
              <w:ind w:firstLine="284"/>
              <w:jc w:val="both"/>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 xml:space="preserve">Ievērojot iepriekš minēto, </w:t>
            </w:r>
            <w:r w:rsidR="00D41B2A" w:rsidRPr="0007358F">
              <w:rPr>
                <w:rFonts w:ascii="Times New Roman" w:eastAsia="Times New Roman" w:hAnsi="Times New Roman" w:cs="Times New Roman"/>
                <w:sz w:val="24"/>
                <w:szCs w:val="24"/>
                <w:lang w:eastAsia="lv-LV"/>
              </w:rPr>
              <w:t>kārtība</w:t>
            </w:r>
            <w:r w:rsidRPr="0007358F">
              <w:rPr>
                <w:rFonts w:ascii="Times New Roman" w:eastAsia="Times New Roman" w:hAnsi="Times New Roman" w:cs="Times New Roman"/>
                <w:sz w:val="24"/>
                <w:szCs w:val="24"/>
                <w:lang w:eastAsia="lv-LV"/>
              </w:rPr>
              <w:t xml:space="preserve"> </w:t>
            </w:r>
            <w:r w:rsidR="0011088B" w:rsidRPr="0007358F">
              <w:rPr>
                <w:rFonts w:ascii="Times New Roman" w:eastAsia="Times New Roman" w:hAnsi="Times New Roman" w:cs="Times New Roman"/>
                <w:sz w:val="24"/>
                <w:szCs w:val="24"/>
                <w:lang w:eastAsia="lv-LV"/>
              </w:rPr>
              <w:t>komercdarbības videi riskanto gadījumu identifikācijā un novēršanā, būtu nosakāma līdzīga</w:t>
            </w:r>
            <w:r w:rsidR="004A7F42">
              <w:rPr>
                <w:rFonts w:ascii="Times New Roman" w:eastAsia="Times New Roman" w:hAnsi="Times New Roman" w:cs="Times New Roman"/>
                <w:sz w:val="24"/>
                <w:szCs w:val="24"/>
                <w:lang w:eastAsia="lv-LV"/>
              </w:rPr>
              <w:t>,</w:t>
            </w:r>
            <w:r w:rsidR="0011088B" w:rsidRPr="0007358F">
              <w:rPr>
                <w:rFonts w:ascii="Times New Roman" w:eastAsia="Times New Roman" w:hAnsi="Times New Roman" w:cs="Times New Roman"/>
                <w:sz w:val="24"/>
                <w:szCs w:val="24"/>
                <w:lang w:eastAsia="lv-LV"/>
              </w:rPr>
              <w:t xml:space="preserve"> kāda tika noteikta ar “Grozījumiem likumā “Par nodokļiem un nodevām””</w:t>
            </w:r>
            <w:r w:rsidR="0001571C">
              <w:rPr>
                <w:rFonts w:ascii="Times New Roman" w:eastAsia="Times New Roman" w:hAnsi="Times New Roman" w:cs="Times New Roman"/>
                <w:sz w:val="24"/>
                <w:szCs w:val="24"/>
                <w:lang w:eastAsia="lv-LV"/>
              </w:rPr>
              <w:t>, kas stājās spēkā 2016.gada 1.janvārī</w:t>
            </w:r>
            <w:r w:rsidR="0011088B" w:rsidRPr="0007358F">
              <w:rPr>
                <w:rFonts w:ascii="Times New Roman" w:eastAsia="Times New Roman" w:hAnsi="Times New Roman" w:cs="Times New Roman"/>
                <w:sz w:val="24"/>
                <w:szCs w:val="24"/>
                <w:lang w:eastAsia="lv-LV"/>
              </w:rPr>
              <w:t xml:space="preserve">. Proti, UR informāciju par ierakstīšanai komercreģistrā pieteiktajiem gadījumiem, kuros būtu saskatāmas riska pazīmes operatīvi nodotu </w:t>
            </w:r>
            <w:r w:rsidR="00D14074">
              <w:rPr>
                <w:rFonts w:ascii="Times New Roman" w:eastAsia="Times New Roman" w:hAnsi="Times New Roman" w:cs="Times New Roman"/>
                <w:sz w:val="24"/>
                <w:szCs w:val="24"/>
                <w:lang w:eastAsia="lv-LV"/>
              </w:rPr>
              <w:t>kompetentajām iestādēm</w:t>
            </w:r>
            <w:r w:rsidR="0011088B" w:rsidRPr="0007358F">
              <w:rPr>
                <w:rFonts w:ascii="Times New Roman" w:eastAsia="Times New Roman" w:hAnsi="Times New Roman" w:cs="Times New Roman"/>
                <w:sz w:val="24"/>
                <w:szCs w:val="24"/>
                <w:lang w:eastAsia="lv-LV"/>
              </w:rPr>
              <w:t>,</w:t>
            </w:r>
            <w:r w:rsidR="00D41B2A" w:rsidRPr="0007358F">
              <w:rPr>
                <w:rFonts w:ascii="Times New Roman" w:eastAsia="Times New Roman" w:hAnsi="Times New Roman" w:cs="Times New Roman"/>
                <w:sz w:val="24"/>
                <w:szCs w:val="24"/>
                <w:lang w:eastAsia="lv-LV"/>
              </w:rPr>
              <w:t xml:space="preserve"> vienlaikus UR pagarinot reģistrācijas dokumentu izskatīšanas termiņus (atbilstoši vispārīgajai kārtībai, kas noteikta Administratīvā procesa likumā</w:t>
            </w:r>
            <w:r w:rsidR="003B61DF">
              <w:rPr>
                <w:rFonts w:ascii="Times New Roman" w:eastAsia="Times New Roman" w:hAnsi="Times New Roman" w:cs="Times New Roman"/>
                <w:sz w:val="24"/>
                <w:szCs w:val="24"/>
                <w:lang w:eastAsia="lv-LV"/>
              </w:rPr>
              <w:t>, bet ne mazāk kā par 10 darba dienām</w:t>
            </w:r>
            <w:r w:rsidR="00D41B2A" w:rsidRPr="0007358F">
              <w:rPr>
                <w:rFonts w:ascii="Times New Roman" w:eastAsia="Times New Roman" w:hAnsi="Times New Roman" w:cs="Times New Roman"/>
                <w:sz w:val="24"/>
                <w:szCs w:val="24"/>
                <w:lang w:eastAsia="lv-LV"/>
              </w:rPr>
              <w:t>), s</w:t>
            </w:r>
            <w:r w:rsidR="0011088B" w:rsidRPr="0007358F">
              <w:rPr>
                <w:rFonts w:ascii="Times New Roman" w:eastAsia="Times New Roman" w:hAnsi="Times New Roman" w:cs="Times New Roman"/>
                <w:sz w:val="24"/>
                <w:szCs w:val="24"/>
                <w:lang w:eastAsia="lv-LV"/>
              </w:rPr>
              <w:t xml:space="preserve">avukārt </w:t>
            </w:r>
            <w:r w:rsidR="00D14074">
              <w:rPr>
                <w:rFonts w:ascii="Times New Roman" w:eastAsia="Times New Roman" w:hAnsi="Times New Roman" w:cs="Times New Roman"/>
                <w:sz w:val="24"/>
                <w:szCs w:val="24"/>
                <w:lang w:eastAsia="lv-LV"/>
              </w:rPr>
              <w:t>kompetentās iestādes</w:t>
            </w:r>
            <w:r w:rsidR="0011088B" w:rsidRPr="0007358F">
              <w:rPr>
                <w:rFonts w:ascii="Times New Roman" w:eastAsia="Times New Roman" w:hAnsi="Times New Roman" w:cs="Times New Roman"/>
                <w:sz w:val="24"/>
                <w:szCs w:val="24"/>
                <w:lang w:eastAsia="lv-LV"/>
              </w:rPr>
              <w:t>, identificējot gadījumus, kuros jauna komersanta vai izmaiņu reģistrēšana radītu pamatotus riskus</w:t>
            </w:r>
            <w:r w:rsidR="00D14074">
              <w:rPr>
                <w:rFonts w:ascii="Times New Roman" w:eastAsia="Times New Roman" w:hAnsi="Times New Roman" w:cs="Times New Roman"/>
                <w:sz w:val="24"/>
                <w:szCs w:val="24"/>
                <w:lang w:eastAsia="lv-LV"/>
              </w:rPr>
              <w:t>, piemēram,</w:t>
            </w:r>
            <w:r w:rsidR="0011088B" w:rsidRPr="0007358F">
              <w:rPr>
                <w:rFonts w:ascii="Times New Roman" w:eastAsia="Times New Roman" w:hAnsi="Times New Roman" w:cs="Times New Roman"/>
                <w:sz w:val="24"/>
                <w:szCs w:val="24"/>
                <w:lang w:eastAsia="lv-LV"/>
              </w:rPr>
              <w:t xml:space="preserve"> krāpniecībai ar nodokļiem</w:t>
            </w:r>
            <w:r w:rsidR="00D14074">
              <w:rPr>
                <w:rFonts w:ascii="Times New Roman" w:eastAsia="Times New Roman" w:hAnsi="Times New Roman" w:cs="Times New Roman"/>
                <w:sz w:val="24"/>
                <w:szCs w:val="24"/>
                <w:lang w:eastAsia="lv-LV"/>
              </w:rPr>
              <w:t xml:space="preserve"> vai noziedzīgi iegūtu līdzekļu legalizācijai</w:t>
            </w:r>
            <w:r w:rsidR="0011088B" w:rsidRPr="0007358F">
              <w:rPr>
                <w:rFonts w:ascii="Times New Roman" w:eastAsia="Times New Roman" w:hAnsi="Times New Roman" w:cs="Times New Roman"/>
                <w:sz w:val="24"/>
                <w:szCs w:val="24"/>
                <w:lang w:eastAsia="lv-LV"/>
              </w:rPr>
              <w:t xml:space="preserve">, </w:t>
            </w:r>
            <w:r w:rsidR="00965DF6">
              <w:rPr>
                <w:rFonts w:ascii="Times New Roman" w:eastAsia="Times New Roman" w:hAnsi="Times New Roman" w:cs="Times New Roman"/>
                <w:sz w:val="24"/>
                <w:szCs w:val="24"/>
                <w:lang w:eastAsia="lv-LV"/>
              </w:rPr>
              <w:t>sniegtu atzinumu par secināto UR</w:t>
            </w:r>
            <w:r w:rsidR="0011088B" w:rsidRPr="0007358F">
              <w:rPr>
                <w:rFonts w:ascii="Times New Roman" w:eastAsia="Times New Roman" w:hAnsi="Times New Roman" w:cs="Times New Roman"/>
                <w:sz w:val="24"/>
                <w:szCs w:val="24"/>
                <w:lang w:eastAsia="lv-LV"/>
              </w:rPr>
              <w:t>.</w:t>
            </w:r>
            <w:r w:rsidR="00965DF6">
              <w:rPr>
                <w:rFonts w:ascii="Times New Roman" w:eastAsia="Times New Roman" w:hAnsi="Times New Roman" w:cs="Times New Roman"/>
                <w:sz w:val="24"/>
                <w:szCs w:val="24"/>
                <w:lang w:eastAsia="lv-LV"/>
              </w:rPr>
              <w:t xml:space="preserve"> UR savukārt</w:t>
            </w:r>
            <w:r w:rsidR="00937BCF">
              <w:rPr>
                <w:rFonts w:ascii="Times New Roman" w:eastAsia="Times New Roman" w:hAnsi="Times New Roman" w:cs="Times New Roman"/>
                <w:sz w:val="24"/>
                <w:szCs w:val="24"/>
                <w:lang w:eastAsia="lv-LV"/>
              </w:rPr>
              <w:t>,</w:t>
            </w:r>
            <w:r w:rsidR="00965DF6">
              <w:rPr>
                <w:rFonts w:ascii="Times New Roman" w:eastAsia="Times New Roman" w:hAnsi="Times New Roman" w:cs="Times New Roman"/>
                <w:sz w:val="24"/>
                <w:szCs w:val="24"/>
                <w:lang w:eastAsia="lv-LV"/>
              </w:rPr>
              <w:t xml:space="preserve"> izvērtējot sniegto atzinumu</w:t>
            </w:r>
            <w:r w:rsidR="003B61DF">
              <w:rPr>
                <w:rFonts w:ascii="Times New Roman" w:eastAsia="Times New Roman" w:hAnsi="Times New Roman" w:cs="Times New Roman"/>
                <w:sz w:val="24"/>
                <w:szCs w:val="24"/>
                <w:lang w:eastAsia="lv-LV"/>
              </w:rPr>
              <w:t xml:space="preserve">, tajā norādītos </w:t>
            </w:r>
            <w:r w:rsidR="003B61DF" w:rsidRPr="003B61DF">
              <w:rPr>
                <w:rFonts w:ascii="Times New Roman" w:eastAsia="Times New Roman" w:hAnsi="Times New Roman" w:cs="Times New Roman"/>
                <w:sz w:val="24"/>
                <w:szCs w:val="24"/>
                <w:lang w:eastAsia="lv-LV"/>
              </w:rPr>
              <w:t>riskus/vērtējumu saistībā ar tiesību subjekta nolūku veikt tiesisku komercdarbību</w:t>
            </w:r>
            <w:r w:rsidR="00937BCF">
              <w:rPr>
                <w:rFonts w:ascii="Times New Roman" w:eastAsia="Times New Roman" w:hAnsi="Times New Roman" w:cs="Times New Roman"/>
                <w:sz w:val="24"/>
                <w:szCs w:val="24"/>
                <w:lang w:eastAsia="lv-LV"/>
              </w:rPr>
              <w:t>,</w:t>
            </w:r>
            <w:r w:rsidR="00965DF6">
              <w:rPr>
                <w:rFonts w:ascii="Times New Roman" w:eastAsia="Times New Roman" w:hAnsi="Times New Roman" w:cs="Times New Roman"/>
                <w:sz w:val="24"/>
                <w:szCs w:val="24"/>
                <w:lang w:eastAsia="lv-LV"/>
              </w:rPr>
              <w:t xml:space="preserve"> varētu atteikt reģistrāciju</w:t>
            </w:r>
            <w:r w:rsidR="004A7F42">
              <w:rPr>
                <w:rFonts w:ascii="Times New Roman" w:eastAsia="Times New Roman" w:hAnsi="Times New Roman" w:cs="Times New Roman"/>
                <w:sz w:val="24"/>
                <w:szCs w:val="24"/>
                <w:lang w:eastAsia="lv-LV"/>
              </w:rPr>
              <w:t>.</w:t>
            </w:r>
            <w:r w:rsidR="0011088B" w:rsidRPr="0007358F">
              <w:rPr>
                <w:rFonts w:ascii="Times New Roman" w:eastAsia="Times New Roman" w:hAnsi="Times New Roman" w:cs="Times New Roman"/>
                <w:sz w:val="24"/>
                <w:szCs w:val="24"/>
                <w:lang w:eastAsia="lv-LV"/>
              </w:rPr>
              <w:t xml:space="preserve"> Rezultātā tiktu novērsta fiktīvu </w:t>
            </w:r>
            <w:r w:rsidR="00D41B2A" w:rsidRPr="0007358F">
              <w:rPr>
                <w:rFonts w:ascii="Times New Roman" w:eastAsia="Times New Roman" w:hAnsi="Times New Roman" w:cs="Times New Roman"/>
                <w:sz w:val="24"/>
                <w:szCs w:val="24"/>
                <w:lang w:eastAsia="lv-LV"/>
              </w:rPr>
              <w:t>komersantu reģistrācija</w:t>
            </w:r>
            <w:r w:rsidR="0011088B" w:rsidRPr="0007358F">
              <w:rPr>
                <w:rFonts w:ascii="Times New Roman" w:eastAsia="Times New Roman" w:hAnsi="Times New Roman" w:cs="Times New Roman"/>
                <w:sz w:val="24"/>
                <w:szCs w:val="24"/>
                <w:lang w:eastAsia="lv-LV"/>
              </w:rPr>
              <w:t>, vienlaikus saglabājot iestādēm normatīvajos aktos noteikto kompetenču un funkciju apjomu.</w:t>
            </w:r>
          </w:p>
          <w:p w14:paraId="335C4114" w14:textId="00E79F6C" w:rsidR="001F2C16" w:rsidRDefault="0011088B" w:rsidP="00D41B2A">
            <w:pPr>
              <w:spacing w:after="0" w:line="240" w:lineRule="auto"/>
              <w:ind w:firstLine="284"/>
              <w:jc w:val="both"/>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Minētās sistēmas ietvaros</w:t>
            </w:r>
            <w:r w:rsidR="00965DF6">
              <w:rPr>
                <w:rFonts w:ascii="Times New Roman" w:eastAsia="Times New Roman" w:hAnsi="Times New Roman" w:cs="Times New Roman"/>
                <w:sz w:val="24"/>
                <w:szCs w:val="24"/>
                <w:lang w:eastAsia="lv-LV"/>
              </w:rPr>
              <w:t xml:space="preserve"> šķērslis, pagarinot reģistrācijas termiņus, tiktu piemērots vienīgi izņēmumu gadījumos, pastāvot šaubām par negodprātīgu, prettiesisku rīcību. Ievērojot minēto</w:t>
            </w:r>
            <w:r w:rsidRPr="0007358F">
              <w:rPr>
                <w:rFonts w:ascii="Times New Roman" w:eastAsia="Times New Roman" w:hAnsi="Times New Roman" w:cs="Times New Roman"/>
                <w:sz w:val="24"/>
                <w:szCs w:val="24"/>
                <w:lang w:eastAsia="lv-LV"/>
              </w:rPr>
              <w:t xml:space="preserve">, </w:t>
            </w:r>
            <w:r w:rsidRPr="0007358F">
              <w:rPr>
                <w:rFonts w:ascii="Times New Roman" w:eastAsia="Times New Roman" w:hAnsi="Times New Roman" w:cs="Times New Roman"/>
                <w:sz w:val="24"/>
                <w:szCs w:val="24"/>
                <w:lang w:eastAsia="lv-LV"/>
              </w:rPr>
              <w:lastRenderedPageBreak/>
              <w:t xml:space="preserve">lai neapgrūtinātu iestāžu darbu un neapgrūtinātu visus komersantus, pagarinot reģistrācijas termiņus, nepieciešams </w:t>
            </w:r>
            <w:r w:rsidR="00444DF8" w:rsidRPr="0007358F">
              <w:rPr>
                <w:rFonts w:ascii="Times New Roman" w:eastAsia="Times New Roman" w:hAnsi="Times New Roman" w:cs="Times New Roman"/>
                <w:sz w:val="24"/>
                <w:szCs w:val="24"/>
                <w:lang w:eastAsia="lv-LV"/>
              </w:rPr>
              <w:t>atpazīt iespējamos gadījumus, kad pastāv risks, ka komersants tiek dibināts bez nolūka veikt komercdarbību vai izmaiņas ierakstos par komersantu</w:t>
            </w:r>
            <w:r w:rsidR="00937BCF">
              <w:rPr>
                <w:rFonts w:ascii="Times New Roman" w:eastAsia="Times New Roman" w:hAnsi="Times New Roman" w:cs="Times New Roman"/>
                <w:sz w:val="24"/>
                <w:szCs w:val="24"/>
                <w:lang w:eastAsia="lv-LV"/>
              </w:rPr>
              <w:t>,</w:t>
            </w:r>
            <w:r w:rsidR="00444DF8" w:rsidRPr="0007358F">
              <w:rPr>
                <w:rFonts w:ascii="Times New Roman" w:eastAsia="Times New Roman" w:hAnsi="Times New Roman" w:cs="Times New Roman"/>
                <w:sz w:val="24"/>
                <w:szCs w:val="24"/>
                <w:lang w:eastAsia="lv-LV"/>
              </w:rPr>
              <w:t xml:space="preserve"> </w:t>
            </w:r>
            <w:r w:rsidR="003B61DF">
              <w:rPr>
                <w:rFonts w:ascii="Times New Roman" w:eastAsia="Times New Roman" w:hAnsi="Times New Roman" w:cs="Times New Roman"/>
                <w:sz w:val="24"/>
                <w:szCs w:val="24"/>
                <w:lang w:eastAsia="lv-LV"/>
              </w:rPr>
              <w:t>iespējams</w:t>
            </w:r>
            <w:r w:rsidR="00937BCF">
              <w:rPr>
                <w:rFonts w:ascii="Times New Roman" w:eastAsia="Times New Roman" w:hAnsi="Times New Roman" w:cs="Times New Roman"/>
                <w:sz w:val="24"/>
                <w:szCs w:val="24"/>
                <w:lang w:eastAsia="lv-LV"/>
              </w:rPr>
              <w:t>,</w:t>
            </w:r>
            <w:r w:rsidR="003B61DF">
              <w:rPr>
                <w:rFonts w:ascii="Times New Roman" w:eastAsia="Times New Roman" w:hAnsi="Times New Roman" w:cs="Times New Roman"/>
                <w:sz w:val="24"/>
                <w:szCs w:val="24"/>
                <w:lang w:eastAsia="lv-LV"/>
              </w:rPr>
              <w:t xml:space="preserve"> </w:t>
            </w:r>
            <w:r w:rsidR="00444DF8" w:rsidRPr="0007358F">
              <w:rPr>
                <w:rFonts w:ascii="Times New Roman" w:eastAsia="Times New Roman" w:hAnsi="Times New Roman" w:cs="Times New Roman"/>
                <w:sz w:val="24"/>
                <w:szCs w:val="24"/>
                <w:lang w:eastAsia="lv-LV"/>
              </w:rPr>
              <w:t>tiek pieteiktas ar mērķi izvairīties no nodokļu nomaksas.</w:t>
            </w:r>
            <w:r w:rsidR="00D41B2A" w:rsidRPr="0007358F">
              <w:rPr>
                <w:rFonts w:ascii="Times New Roman" w:eastAsia="Times New Roman" w:hAnsi="Times New Roman" w:cs="Times New Roman"/>
                <w:sz w:val="24"/>
                <w:szCs w:val="24"/>
                <w:lang w:eastAsia="lv-LV"/>
              </w:rPr>
              <w:t xml:space="preserve"> </w:t>
            </w:r>
            <w:r w:rsidRPr="0007358F">
              <w:rPr>
                <w:rFonts w:ascii="Times New Roman" w:eastAsia="Times New Roman" w:hAnsi="Times New Roman" w:cs="Times New Roman"/>
                <w:sz w:val="24"/>
                <w:szCs w:val="24"/>
                <w:lang w:eastAsia="lv-LV"/>
              </w:rPr>
              <w:t>UR r</w:t>
            </w:r>
            <w:r w:rsidR="006521CC" w:rsidRPr="0007358F">
              <w:rPr>
                <w:rFonts w:ascii="Times New Roman" w:eastAsia="Times New Roman" w:hAnsi="Times New Roman" w:cs="Times New Roman"/>
                <w:sz w:val="24"/>
                <w:szCs w:val="24"/>
                <w:lang w:eastAsia="lv-LV"/>
              </w:rPr>
              <w:t xml:space="preserve">iska vadības sistēmas </w:t>
            </w:r>
            <w:r w:rsidRPr="0007358F">
              <w:rPr>
                <w:rFonts w:ascii="Times New Roman" w:eastAsia="Times New Roman" w:hAnsi="Times New Roman" w:cs="Times New Roman"/>
                <w:sz w:val="24"/>
                <w:szCs w:val="24"/>
                <w:lang w:eastAsia="lv-LV"/>
              </w:rPr>
              <w:t xml:space="preserve">pilnveidošanas </w:t>
            </w:r>
            <w:r w:rsidR="006521CC" w:rsidRPr="0007358F">
              <w:rPr>
                <w:rFonts w:ascii="Times New Roman" w:eastAsia="Times New Roman" w:hAnsi="Times New Roman" w:cs="Times New Roman"/>
                <w:sz w:val="24"/>
                <w:szCs w:val="24"/>
                <w:lang w:eastAsia="lv-LV"/>
              </w:rPr>
              <w:t>gaitā nepieciešams nodefinēt kritērijus, pie kuriem iestājas konkrēta riska gadījums.</w:t>
            </w:r>
            <w:r w:rsidR="00965DF6">
              <w:rPr>
                <w:rFonts w:ascii="Times New Roman" w:eastAsia="Times New Roman" w:hAnsi="Times New Roman" w:cs="Times New Roman"/>
                <w:sz w:val="24"/>
                <w:szCs w:val="24"/>
                <w:lang w:eastAsia="lv-LV"/>
              </w:rPr>
              <w:t xml:space="preserve"> Tādejādi, godprātīgiem komersantiem netiktu radīti šķēršļi ātrai reģistrācijai.</w:t>
            </w:r>
            <w:r w:rsidR="006521CC" w:rsidRPr="0007358F">
              <w:rPr>
                <w:rFonts w:ascii="Times New Roman" w:eastAsia="Times New Roman" w:hAnsi="Times New Roman" w:cs="Times New Roman"/>
                <w:sz w:val="24"/>
                <w:szCs w:val="24"/>
                <w:lang w:eastAsia="lv-LV"/>
              </w:rPr>
              <w:t xml:space="preserve"> Vienlaikus, </w:t>
            </w:r>
            <w:r w:rsidR="0041337B" w:rsidRPr="0007358F">
              <w:rPr>
                <w:rFonts w:ascii="Times New Roman" w:eastAsia="Times New Roman" w:hAnsi="Times New Roman" w:cs="Times New Roman"/>
                <w:sz w:val="24"/>
                <w:szCs w:val="24"/>
                <w:lang w:eastAsia="lv-LV"/>
              </w:rPr>
              <w:t>norādāms</w:t>
            </w:r>
            <w:r w:rsidR="001F2C16" w:rsidRPr="0007358F">
              <w:rPr>
                <w:rFonts w:ascii="Times New Roman" w:eastAsia="Times New Roman" w:hAnsi="Times New Roman" w:cs="Times New Roman"/>
                <w:sz w:val="24"/>
                <w:szCs w:val="24"/>
                <w:lang w:eastAsia="lv-LV"/>
              </w:rPr>
              <w:t xml:space="preserve">, ka </w:t>
            </w:r>
            <w:r w:rsidR="00894854" w:rsidRPr="0007358F">
              <w:rPr>
                <w:rFonts w:ascii="Times New Roman" w:eastAsia="Times New Roman" w:hAnsi="Times New Roman" w:cs="Times New Roman"/>
                <w:sz w:val="24"/>
                <w:szCs w:val="24"/>
                <w:lang w:eastAsia="lv-LV"/>
              </w:rPr>
              <w:t>UR</w:t>
            </w:r>
            <w:r w:rsidR="006521CC" w:rsidRPr="0007358F">
              <w:rPr>
                <w:rFonts w:ascii="Times New Roman" w:eastAsia="Times New Roman" w:hAnsi="Times New Roman" w:cs="Times New Roman"/>
                <w:sz w:val="24"/>
                <w:szCs w:val="24"/>
                <w:lang w:eastAsia="lv-LV"/>
              </w:rPr>
              <w:t xml:space="preserve"> atbilstoši </w:t>
            </w:r>
            <w:r w:rsidR="001F2C16" w:rsidRPr="0007358F">
              <w:rPr>
                <w:rFonts w:ascii="Times New Roman" w:eastAsia="Times New Roman" w:hAnsi="Times New Roman" w:cs="Times New Roman"/>
                <w:sz w:val="24"/>
                <w:szCs w:val="24"/>
                <w:lang w:eastAsia="lv-LV"/>
              </w:rPr>
              <w:t>identificē</w:t>
            </w:r>
            <w:r w:rsidR="006521CC" w:rsidRPr="0007358F">
              <w:rPr>
                <w:rFonts w:ascii="Times New Roman" w:eastAsia="Times New Roman" w:hAnsi="Times New Roman" w:cs="Times New Roman"/>
                <w:sz w:val="24"/>
                <w:szCs w:val="24"/>
                <w:lang w:eastAsia="lv-LV"/>
              </w:rPr>
              <w:t xml:space="preserve">tajiem </w:t>
            </w:r>
            <w:r w:rsidR="001F2C16" w:rsidRPr="0007358F">
              <w:rPr>
                <w:rFonts w:ascii="Times New Roman" w:eastAsia="Times New Roman" w:hAnsi="Times New Roman" w:cs="Times New Roman"/>
                <w:sz w:val="24"/>
                <w:szCs w:val="24"/>
                <w:lang w:eastAsia="lv-LV"/>
              </w:rPr>
              <w:t>riski</w:t>
            </w:r>
            <w:r w:rsidR="006521CC" w:rsidRPr="0007358F">
              <w:rPr>
                <w:rFonts w:ascii="Times New Roman" w:eastAsia="Times New Roman" w:hAnsi="Times New Roman" w:cs="Times New Roman"/>
                <w:sz w:val="24"/>
                <w:szCs w:val="24"/>
                <w:lang w:eastAsia="lv-LV"/>
              </w:rPr>
              <w:t>em</w:t>
            </w:r>
            <w:r w:rsidR="001F2C16" w:rsidRPr="0007358F">
              <w:rPr>
                <w:rFonts w:ascii="Times New Roman" w:eastAsia="Times New Roman" w:hAnsi="Times New Roman" w:cs="Times New Roman"/>
                <w:sz w:val="24"/>
                <w:szCs w:val="24"/>
                <w:lang w:eastAsia="lv-LV"/>
              </w:rPr>
              <w:t>, pa</w:t>
            </w:r>
            <w:r w:rsidR="006521CC" w:rsidRPr="0007358F">
              <w:rPr>
                <w:rFonts w:ascii="Times New Roman" w:eastAsia="Times New Roman" w:hAnsi="Times New Roman" w:cs="Times New Roman"/>
                <w:sz w:val="24"/>
                <w:szCs w:val="24"/>
                <w:lang w:eastAsia="lv-LV"/>
              </w:rPr>
              <w:t>garinās</w:t>
            </w:r>
            <w:r w:rsidR="001F2C16" w:rsidRPr="0007358F">
              <w:rPr>
                <w:rFonts w:ascii="Times New Roman" w:eastAsia="Times New Roman" w:hAnsi="Times New Roman" w:cs="Times New Roman"/>
                <w:sz w:val="24"/>
                <w:szCs w:val="24"/>
                <w:lang w:eastAsia="lv-LV"/>
              </w:rPr>
              <w:t xml:space="preserve"> iesniegto reģistrācijas dokumentu komercreģistrā izskat</w:t>
            </w:r>
            <w:r w:rsidR="006521CC" w:rsidRPr="0007358F">
              <w:rPr>
                <w:rFonts w:ascii="Times New Roman" w:eastAsia="Times New Roman" w:hAnsi="Times New Roman" w:cs="Times New Roman"/>
                <w:sz w:val="24"/>
                <w:szCs w:val="24"/>
                <w:lang w:eastAsia="lv-LV"/>
              </w:rPr>
              <w:t>īšanas termiņu</w:t>
            </w:r>
            <w:r w:rsidRPr="0007358F">
              <w:rPr>
                <w:rFonts w:ascii="Times New Roman" w:eastAsia="Times New Roman" w:hAnsi="Times New Roman" w:cs="Times New Roman"/>
                <w:sz w:val="24"/>
                <w:szCs w:val="24"/>
                <w:lang w:eastAsia="lv-LV"/>
              </w:rPr>
              <w:t xml:space="preserve"> </w:t>
            </w:r>
            <w:r w:rsidR="006521CC" w:rsidRPr="0007358F">
              <w:rPr>
                <w:rFonts w:ascii="Times New Roman" w:eastAsia="Times New Roman" w:hAnsi="Times New Roman" w:cs="Times New Roman"/>
                <w:sz w:val="24"/>
                <w:szCs w:val="24"/>
                <w:lang w:eastAsia="lv-LV"/>
              </w:rPr>
              <w:t>un nosūtīs</w:t>
            </w:r>
            <w:r w:rsidR="0041337B" w:rsidRPr="0007358F">
              <w:rPr>
                <w:rFonts w:ascii="Times New Roman" w:eastAsia="Times New Roman" w:hAnsi="Times New Roman" w:cs="Times New Roman"/>
                <w:sz w:val="24"/>
                <w:szCs w:val="24"/>
                <w:lang w:eastAsia="lv-LV"/>
              </w:rPr>
              <w:t xml:space="preserve"> informāciju</w:t>
            </w:r>
            <w:r w:rsidR="001F2C16" w:rsidRPr="0007358F">
              <w:rPr>
                <w:rFonts w:ascii="Times New Roman" w:eastAsia="Times New Roman" w:hAnsi="Times New Roman" w:cs="Times New Roman"/>
                <w:sz w:val="24"/>
                <w:szCs w:val="24"/>
                <w:lang w:eastAsia="lv-LV"/>
              </w:rPr>
              <w:t xml:space="preserve"> pārbaudei </w:t>
            </w:r>
            <w:r w:rsidR="00D14074">
              <w:rPr>
                <w:rFonts w:ascii="Times New Roman" w:eastAsia="Times New Roman" w:hAnsi="Times New Roman" w:cs="Times New Roman"/>
                <w:sz w:val="24"/>
                <w:szCs w:val="24"/>
                <w:lang w:eastAsia="lv-LV"/>
              </w:rPr>
              <w:t>kompetentajām iestādēm</w:t>
            </w:r>
            <w:r w:rsidR="006521CC" w:rsidRPr="0007358F">
              <w:rPr>
                <w:rFonts w:ascii="Times New Roman" w:eastAsia="Times New Roman" w:hAnsi="Times New Roman" w:cs="Times New Roman"/>
                <w:sz w:val="24"/>
                <w:szCs w:val="24"/>
                <w:lang w:eastAsia="lv-LV"/>
              </w:rPr>
              <w:t xml:space="preserve">, bet </w:t>
            </w:r>
            <w:r w:rsidR="00D14074">
              <w:rPr>
                <w:rFonts w:ascii="Times New Roman" w:eastAsia="Times New Roman" w:hAnsi="Times New Roman" w:cs="Times New Roman"/>
                <w:sz w:val="24"/>
                <w:szCs w:val="24"/>
                <w:lang w:eastAsia="lv-LV"/>
              </w:rPr>
              <w:t>kompetentās iestādes</w:t>
            </w:r>
            <w:r w:rsidR="00D14074" w:rsidRPr="0007358F">
              <w:rPr>
                <w:rFonts w:ascii="Times New Roman" w:eastAsia="Times New Roman" w:hAnsi="Times New Roman" w:cs="Times New Roman"/>
                <w:sz w:val="24"/>
                <w:szCs w:val="24"/>
                <w:lang w:eastAsia="lv-LV"/>
              </w:rPr>
              <w:t xml:space="preserve"> </w:t>
            </w:r>
            <w:r w:rsidR="00A1730E">
              <w:rPr>
                <w:rFonts w:ascii="Times New Roman" w:eastAsia="Times New Roman" w:hAnsi="Times New Roman" w:cs="Times New Roman"/>
                <w:sz w:val="24"/>
                <w:szCs w:val="24"/>
                <w:lang w:eastAsia="lv-LV"/>
              </w:rPr>
              <w:t>savukārt sniegs atzinumu par to vai atbilstoši kompetentās iestādes rīcībā esošajai informācijai</w:t>
            </w:r>
            <w:r w:rsidR="006521CC" w:rsidRPr="0007358F">
              <w:rPr>
                <w:rFonts w:ascii="Times New Roman" w:eastAsia="Times New Roman" w:hAnsi="Times New Roman" w:cs="Times New Roman"/>
                <w:sz w:val="24"/>
                <w:szCs w:val="24"/>
                <w:lang w:eastAsia="lv-LV"/>
              </w:rPr>
              <w:t xml:space="preserve">, </w:t>
            </w:r>
            <w:r w:rsidR="00A1730E">
              <w:rPr>
                <w:rFonts w:ascii="Times New Roman" w:eastAsia="Times New Roman" w:hAnsi="Times New Roman" w:cs="Times New Roman"/>
                <w:sz w:val="24"/>
                <w:szCs w:val="24"/>
                <w:lang w:eastAsia="lv-LV"/>
              </w:rPr>
              <w:t xml:space="preserve">ierakstīšanai </w:t>
            </w:r>
            <w:r w:rsidR="006521CC" w:rsidRPr="0007358F">
              <w:rPr>
                <w:rFonts w:ascii="Times New Roman" w:eastAsia="Times New Roman" w:hAnsi="Times New Roman" w:cs="Times New Roman"/>
                <w:sz w:val="24"/>
                <w:szCs w:val="24"/>
                <w:lang w:eastAsia="lv-LV"/>
              </w:rPr>
              <w:t>pieteikt</w:t>
            </w:r>
            <w:r w:rsidR="00A1730E">
              <w:rPr>
                <w:rFonts w:ascii="Times New Roman" w:eastAsia="Times New Roman" w:hAnsi="Times New Roman" w:cs="Times New Roman"/>
                <w:sz w:val="24"/>
                <w:szCs w:val="24"/>
                <w:lang w:eastAsia="lv-LV"/>
              </w:rPr>
              <w:t>ais</w:t>
            </w:r>
            <w:r w:rsidR="006521CC" w:rsidRPr="0007358F">
              <w:rPr>
                <w:rFonts w:ascii="Times New Roman" w:eastAsia="Times New Roman" w:hAnsi="Times New Roman" w:cs="Times New Roman"/>
                <w:sz w:val="24"/>
                <w:szCs w:val="24"/>
                <w:lang w:eastAsia="lv-LV"/>
              </w:rPr>
              <w:t xml:space="preserve"> komersa</w:t>
            </w:r>
            <w:r w:rsidR="00D41B2A" w:rsidRPr="0007358F">
              <w:rPr>
                <w:rFonts w:ascii="Times New Roman" w:eastAsia="Times New Roman" w:hAnsi="Times New Roman" w:cs="Times New Roman"/>
                <w:sz w:val="24"/>
                <w:szCs w:val="24"/>
                <w:lang w:eastAsia="lv-LV"/>
              </w:rPr>
              <w:t>nt</w:t>
            </w:r>
            <w:r w:rsidR="00A1730E">
              <w:rPr>
                <w:rFonts w:ascii="Times New Roman" w:eastAsia="Times New Roman" w:hAnsi="Times New Roman" w:cs="Times New Roman"/>
                <w:sz w:val="24"/>
                <w:szCs w:val="24"/>
                <w:lang w:eastAsia="lv-LV"/>
              </w:rPr>
              <w:t>s</w:t>
            </w:r>
            <w:r w:rsidR="00D41B2A" w:rsidRPr="0007358F">
              <w:rPr>
                <w:rFonts w:ascii="Times New Roman" w:eastAsia="Times New Roman" w:hAnsi="Times New Roman" w:cs="Times New Roman"/>
                <w:sz w:val="24"/>
                <w:szCs w:val="24"/>
                <w:lang w:eastAsia="lv-LV"/>
              </w:rPr>
              <w:t xml:space="preserve"> vai izmaiņas komercreģistrā</w:t>
            </w:r>
            <w:r w:rsidR="00A1730E">
              <w:rPr>
                <w:rFonts w:ascii="Times New Roman" w:eastAsia="Times New Roman" w:hAnsi="Times New Roman" w:cs="Times New Roman"/>
                <w:sz w:val="24"/>
                <w:szCs w:val="24"/>
                <w:lang w:eastAsia="lv-LV"/>
              </w:rPr>
              <w:t xml:space="preserve"> būtu reģistrējamas</w:t>
            </w:r>
            <w:r w:rsidR="0041337B" w:rsidRPr="0007358F">
              <w:rPr>
                <w:rFonts w:ascii="Times New Roman" w:eastAsia="Times New Roman" w:hAnsi="Times New Roman" w:cs="Times New Roman"/>
                <w:sz w:val="24"/>
                <w:szCs w:val="24"/>
                <w:lang w:eastAsia="lv-LV"/>
              </w:rPr>
              <w:t>.</w:t>
            </w:r>
            <w:r w:rsidR="00A1730E">
              <w:rPr>
                <w:rFonts w:ascii="Times New Roman" w:eastAsia="Times New Roman" w:hAnsi="Times New Roman" w:cs="Times New Roman"/>
                <w:sz w:val="24"/>
                <w:szCs w:val="24"/>
                <w:lang w:eastAsia="lv-LV"/>
              </w:rPr>
              <w:t xml:space="preserve"> UR savukārt, </w:t>
            </w:r>
            <w:r w:rsidR="003B61DF">
              <w:rPr>
                <w:rFonts w:ascii="Times New Roman" w:eastAsia="Times New Roman" w:hAnsi="Times New Roman" w:cs="Times New Roman"/>
                <w:sz w:val="24"/>
                <w:szCs w:val="24"/>
                <w:lang w:eastAsia="lv-LV"/>
              </w:rPr>
              <w:t>izvērtējot</w:t>
            </w:r>
            <w:r w:rsidR="00A1730E">
              <w:rPr>
                <w:rFonts w:ascii="Times New Roman" w:eastAsia="Times New Roman" w:hAnsi="Times New Roman" w:cs="Times New Roman"/>
                <w:sz w:val="24"/>
                <w:szCs w:val="24"/>
                <w:lang w:eastAsia="lv-LV"/>
              </w:rPr>
              <w:t xml:space="preserve"> kompetentās iestādes atzinumā sniegto vērtējumu,</w:t>
            </w:r>
            <w:r w:rsidR="003B61DF">
              <w:rPr>
                <w:rFonts w:ascii="Times New Roman" w:eastAsia="Times New Roman" w:hAnsi="Times New Roman" w:cs="Times New Roman"/>
                <w:sz w:val="24"/>
                <w:szCs w:val="24"/>
                <w:lang w:eastAsia="lv-LV"/>
              </w:rPr>
              <w:t xml:space="preserve"> norādītos </w:t>
            </w:r>
            <w:r w:rsidR="003B61DF" w:rsidRPr="003B61DF">
              <w:rPr>
                <w:rFonts w:ascii="Times New Roman" w:eastAsia="Times New Roman" w:hAnsi="Times New Roman" w:cs="Times New Roman"/>
                <w:sz w:val="24"/>
                <w:szCs w:val="24"/>
                <w:lang w:eastAsia="lv-LV"/>
              </w:rPr>
              <w:t>riskus saistībā ar tiesību subjekta nolūku veikt tiesisku komercdarbību</w:t>
            </w:r>
            <w:r w:rsidR="00937BCF">
              <w:rPr>
                <w:rFonts w:ascii="Times New Roman" w:eastAsia="Times New Roman" w:hAnsi="Times New Roman" w:cs="Times New Roman"/>
                <w:sz w:val="24"/>
                <w:szCs w:val="24"/>
                <w:lang w:eastAsia="lv-LV"/>
              </w:rPr>
              <w:t>,</w:t>
            </w:r>
            <w:r w:rsidR="00A1730E">
              <w:rPr>
                <w:rFonts w:ascii="Times New Roman" w:eastAsia="Times New Roman" w:hAnsi="Times New Roman" w:cs="Times New Roman"/>
                <w:sz w:val="24"/>
                <w:szCs w:val="24"/>
                <w:lang w:eastAsia="lv-LV"/>
              </w:rPr>
              <w:t xml:space="preserve"> </w:t>
            </w:r>
            <w:r w:rsidR="003B61DF">
              <w:rPr>
                <w:rFonts w:ascii="Times New Roman" w:eastAsia="Times New Roman" w:hAnsi="Times New Roman" w:cs="Times New Roman"/>
                <w:sz w:val="24"/>
                <w:szCs w:val="24"/>
                <w:lang w:eastAsia="lv-LV"/>
              </w:rPr>
              <w:t xml:space="preserve">varēs </w:t>
            </w:r>
            <w:r w:rsidR="00A1730E">
              <w:rPr>
                <w:rFonts w:ascii="Times New Roman" w:eastAsia="Times New Roman" w:hAnsi="Times New Roman" w:cs="Times New Roman"/>
                <w:sz w:val="24"/>
                <w:szCs w:val="24"/>
                <w:lang w:eastAsia="lv-LV"/>
              </w:rPr>
              <w:t>lem</w:t>
            </w:r>
            <w:r w:rsidR="003B61DF">
              <w:rPr>
                <w:rFonts w:ascii="Times New Roman" w:eastAsia="Times New Roman" w:hAnsi="Times New Roman" w:cs="Times New Roman"/>
                <w:sz w:val="24"/>
                <w:szCs w:val="24"/>
                <w:lang w:eastAsia="lv-LV"/>
              </w:rPr>
              <w:t>t</w:t>
            </w:r>
            <w:r w:rsidR="00A1730E">
              <w:rPr>
                <w:rFonts w:ascii="Times New Roman" w:eastAsia="Times New Roman" w:hAnsi="Times New Roman" w:cs="Times New Roman"/>
                <w:sz w:val="24"/>
                <w:szCs w:val="24"/>
                <w:lang w:eastAsia="lv-LV"/>
              </w:rPr>
              <w:t xml:space="preserve"> par ieraksta izdarīšanu vai ieraksta izdarīšanas atteikumu.</w:t>
            </w:r>
            <w:r w:rsidR="0041337B" w:rsidRPr="0007358F">
              <w:rPr>
                <w:rFonts w:ascii="Times New Roman" w:eastAsia="Times New Roman" w:hAnsi="Times New Roman" w:cs="Times New Roman"/>
                <w:sz w:val="24"/>
                <w:szCs w:val="24"/>
                <w:lang w:eastAsia="lv-LV"/>
              </w:rPr>
              <w:t xml:space="preserve"> Tāpat jāņem vērā, ka</w:t>
            </w:r>
            <w:r w:rsidR="001F2C16" w:rsidRPr="0007358F">
              <w:rPr>
                <w:rFonts w:ascii="Times New Roman" w:eastAsia="Times New Roman" w:hAnsi="Times New Roman" w:cs="Times New Roman"/>
                <w:sz w:val="24"/>
                <w:szCs w:val="24"/>
                <w:lang w:eastAsia="lv-LV"/>
              </w:rPr>
              <w:t xml:space="preserve"> dažādu apstākļu ietekmē </w:t>
            </w:r>
            <w:r w:rsidR="0041337B" w:rsidRPr="0007358F">
              <w:rPr>
                <w:rFonts w:ascii="Times New Roman" w:eastAsia="Times New Roman" w:hAnsi="Times New Roman" w:cs="Times New Roman"/>
                <w:sz w:val="24"/>
                <w:szCs w:val="24"/>
                <w:lang w:eastAsia="lv-LV"/>
              </w:rPr>
              <w:t xml:space="preserve">riska kritēriji </w:t>
            </w:r>
            <w:r w:rsidR="001F2C16" w:rsidRPr="0007358F">
              <w:rPr>
                <w:rFonts w:ascii="Times New Roman" w:eastAsia="Times New Roman" w:hAnsi="Times New Roman" w:cs="Times New Roman"/>
                <w:sz w:val="24"/>
                <w:szCs w:val="24"/>
                <w:lang w:eastAsia="lv-LV"/>
              </w:rPr>
              <w:t xml:space="preserve">var mainīties un </w:t>
            </w:r>
            <w:r w:rsidR="0041337B" w:rsidRPr="0007358F">
              <w:rPr>
                <w:rFonts w:ascii="Times New Roman" w:eastAsia="Times New Roman" w:hAnsi="Times New Roman" w:cs="Times New Roman"/>
                <w:sz w:val="24"/>
                <w:szCs w:val="24"/>
                <w:lang w:eastAsia="lv-LV"/>
              </w:rPr>
              <w:t xml:space="preserve">tie </w:t>
            </w:r>
            <w:r w:rsidR="001F2C16" w:rsidRPr="0007358F">
              <w:rPr>
                <w:rFonts w:ascii="Times New Roman" w:eastAsia="Times New Roman" w:hAnsi="Times New Roman" w:cs="Times New Roman"/>
                <w:sz w:val="24"/>
                <w:szCs w:val="24"/>
                <w:lang w:eastAsia="lv-LV"/>
              </w:rPr>
              <w:t>vienmēr būtu vērtējami kopsakarā ar citiem riska kritērijiem un apstākļiem</w:t>
            </w:r>
            <w:r w:rsidR="0041337B" w:rsidRPr="0007358F">
              <w:rPr>
                <w:rFonts w:ascii="Times New Roman" w:eastAsia="Times New Roman" w:hAnsi="Times New Roman" w:cs="Times New Roman"/>
                <w:sz w:val="24"/>
                <w:szCs w:val="24"/>
                <w:lang w:eastAsia="lv-LV"/>
              </w:rPr>
              <w:t xml:space="preserve">. Līdz ar to riska kritēriji, kuriem iestājoties UR informētu </w:t>
            </w:r>
            <w:r w:rsidR="00D14074">
              <w:rPr>
                <w:rFonts w:ascii="Times New Roman" w:eastAsia="Times New Roman" w:hAnsi="Times New Roman" w:cs="Times New Roman"/>
                <w:sz w:val="24"/>
                <w:szCs w:val="24"/>
                <w:lang w:eastAsia="lv-LV"/>
              </w:rPr>
              <w:t>kompetentās iestādes</w:t>
            </w:r>
            <w:r w:rsidR="00D14074" w:rsidRPr="0007358F">
              <w:rPr>
                <w:rFonts w:ascii="Times New Roman" w:eastAsia="Times New Roman" w:hAnsi="Times New Roman" w:cs="Times New Roman"/>
                <w:sz w:val="24"/>
                <w:szCs w:val="24"/>
                <w:lang w:eastAsia="lv-LV"/>
              </w:rPr>
              <w:t xml:space="preserve"> </w:t>
            </w:r>
            <w:r w:rsidR="0041337B" w:rsidRPr="0007358F">
              <w:rPr>
                <w:rFonts w:ascii="Times New Roman" w:eastAsia="Times New Roman" w:hAnsi="Times New Roman" w:cs="Times New Roman"/>
                <w:sz w:val="24"/>
                <w:szCs w:val="24"/>
                <w:lang w:eastAsia="lv-LV"/>
              </w:rPr>
              <w:t xml:space="preserve">par iesniegtajiem pieteikumiem komercreģistrā, </w:t>
            </w:r>
            <w:r w:rsidR="001F2C16" w:rsidRPr="0007358F">
              <w:rPr>
                <w:rFonts w:ascii="Times New Roman" w:eastAsia="Times New Roman" w:hAnsi="Times New Roman" w:cs="Times New Roman"/>
                <w:sz w:val="24"/>
                <w:szCs w:val="24"/>
                <w:lang w:eastAsia="lv-LV"/>
              </w:rPr>
              <w:t xml:space="preserve">nebūtu konkrēti definējami Likumā. </w:t>
            </w:r>
            <w:r w:rsidR="006521CC" w:rsidRPr="0007358F">
              <w:rPr>
                <w:rFonts w:ascii="Times New Roman" w:eastAsia="Times New Roman" w:hAnsi="Times New Roman" w:cs="Times New Roman"/>
                <w:sz w:val="24"/>
                <w:szCs w:val="24"/>
                <w:lang w:eastAsia="lv-LV"/>
              </w:rPr>
              <w:t xml:space="preserve">Vēl jo vairāk, risku konkrēta identificēšana Likumā ļautu negodprātīgajiem komersantiem vieglāk izveidot shēmas </w:t>
            </w:r>
            <w:r w:rsidR="00894854" w:rsidRPr="0007358F">
              <w:rPr>
                <w:rFonts w:ascii="Times New Roman" w:eastAsia="Times New Roman" w:hAnsi="Times New Roman" w:cs="Times New Roman"/>
                <w:sz w:val="24"/>
                <w:szCs w:val="24"/>
                <w:lang w:eastAsia="lv-LV"/>
              </w:rPr>
              <w:t>UR</w:t>
            </w:r>
            <w:r w:rsidR="006521CC" w:rsidRPr="0007358F">
              <w:rPr>
                <w:rFonts w:ascii="Times New Roman" w:eastAsia="Times New Roman" w:hAnsi="Times New Roman" w:cs="Times New Roman"/>
                <w:sz w:val="24"/>
                <w:szCs w:val="24"/>
                <w:lang w:eastAsia="lv-LV"/>
              </w:rPr>
              <w:t xml:space="preserve"> risku vadības sistēmas apiešanai. </w:t>
            </w:r>
          </w:p>
          <w:p w14:paraId="335C4115" w14:textId="0C410CB8" w:rsidR="000505A3" w:rsidRDefault="000505A3" w:rsidP="00D41B2A">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Lai gan šobrīd preventīvai fiktīvu komersantu reģistrācijas ierobežošanai kā kompetentā iestāde</w:t>
            </w:r>
            <w:r w:rsidR="00D14074">
              <w:rPr>
                <w:rFonts w:ascii="Times New Roman" w:eastAsia="Times New Roman" w:hAnsi="Times New Roman" w:cs="Times New Roman"/>
                <w:sz w:val="24"/>
                <w:szCs w:val="24"/>
                <w:lang w:eastAsia="lv-LV"/>
              </w:rPr>
              <w:t xml:space="preserve"> galvenokārt tiek</w:t>
            </w:r>
            <w:r>
              <w:rPr>
                <w:rFonts w:ascii="Times New Roman" w:eastAsia="Times New Roman" w:hAnsi="Times New Roman" w:cs="Times New Roman"/>
                <w:sz w:val="24"/>
                <w:szCs w:val="24"/>
                <w:lang w:eastAsia="lv-LV"/>
              </w:rPr>
              <w:t xml:space="preserve"> izcelta VID, grozījumi būtu veicami pēc iespējas vispārīgāki, lai nepieciešamības gadījumā, fiktīvas komercdarbības ierobežošanai, UR risku vadības sistēmu varētu izmantot arī citas iestādes atbilstoši kompetencei, piemēram, </w:t>
            </w:r>
            <w:r w:rsidR="00A1730E" w:rsidRPr="00A1730E">
              <w:rPr>
                <w:rFonts w:ascii="Times New Roman" w:eastAsia="Times New Roman" w:hAnsi="Times New Roman" w:cs="Times New Roman"/>
                <w:sz w:val="24"/>
                <w:szCs w:val="24"/>
                <w:lang w:eastAsia="lv-LV"/>
              </w:rPr>
              <w:t>Ekonomisko noziegumu apkarošanas pārvalde</w:t>
            </w:r>
            <w:r w:rsidR="00A1730E">
              <w:rPr>
                <w:rFonts w:ascii="Times New Roman" w:eastAsia="Times New Roman" w:hAnsi="Times New Roman" w:cs="Times New Roman"/>
                <w:sz w:val="24"/>
                <w:szCs w:val="24"/>
                <w:lang w:eastAsia="lv-LV"/>
              </w:rPr>
              <w:t>, Drošības policija</w:t>
            </w:r>
            <w:r w:rsidR="00F800BB">
              <w:rPr>
                <w:rFonts w:ascii="Times New Roman" w:eastAsia="Times New Roman" w:hAnsi="Times New Roman" w:cs="Times New Roman"/>
                <w:sz w:val="24"/>
                <w:szCs w:val="24"/>
                <w:lang w:eastAsia="lv-LV"/>
              </w:rPr>
              <w:t>,</w:t>
            </w:r>
            <w:r w:rsidR="006D6BA8">
              <w:rPr>
                <w:rFonts w:ascii="Times New Roman" w:eastAsia="Times New Roman" w:hAnsi="Times New Roman" w:cs="Times New Roman"/>
                <w:sz w:val="24"/>
                <w:szCs w:val="24"/>
                <w:lang w:eastAsia="lv-LV"/>
              </w:rPr>
              <w:t xml:space="preserve"> </w:t>
            </w:r>
            <w:r w:rsidR="006D6BA8" w:rsidRPr="006D6BA8">
              <w:rPr>
                <w:rFonts w:ascii="Times New Roman" w:eastAsia="Times New Roman" w:hAnsi="Times New Roman" w:cs="Times New Roman"/>
                <w:sz w:val="24"/>
                <w:szCs w:val="24"/>
                <w:lang w:eastAsia="lv-LV"/>
              </w:rPr>
              <w:t>Noziedzīgi iegūtu līdzekļu legalizācijas novēršanas dienests</w:t>
            </w:r>
            <w:r w:rsidR="006D6BA8">
              <w:rPr>
                <w:rFonts w:ascii="Times New Roman" w:eastAsia="Times New Roman" w:hAnsi="Times New Roman" w:cs="Times New Roman"/>
                <w:sz w:val="24"/>
                <w:szCs w:val="24"/>
                <w:lang w:eastAsia="lv-LV"/>
              </w:rPr>
              <w:t>.</w:t>
            </w:r>
          </w:p>
          <w:p w14:paraId="335C4116" w14:textId="31445DA9" w:rsidR="000505A3" w:rsidRDefault="0041337B" w:rsidP="000505A3">
            <w:pPr>
              <w:spacing w:after="0" w:line="240" w:lineRule="auto"/>
              <w:ind w:firstLine="284"/>
              <w:jc w:val="both"/>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Ņemot vērā, ka</w:t>
            </w:r>
            <w:r w:rsidR="001069B6" w:rsidRPr="0007358F">
              <w:rPr>
                <w:rFonts w:ascii="Times New Roman" w:eastAsia="Times New Roman" w:hAnsi="Times New Roman" w:cs="Times New Roman"/>
                <w:sz w:val="24"/>
                <w:szCs w:val="24"/>
                <w:lang w:eastAsia="lv-LV"/>
              </w:rPr>
              <w:t xml:space="preserve"> </w:t>
            </w:r>
            <w:r w:rsidRPr="0007358F">
              <w:rPr>
                <w:rFonts w:ascii="Times New Roman" w:eastAsia="Times New Roman" w:hAnsi="Times New Roman" w:cs="Times New Roman"/>
                <w:sz w:val="24"/>
                <w:szCs w:val="24"/>
                <w:lang w:eastAsia="lv-LV"/>
              </w:rPr>
              <w:t xml:space="preserve">iepriekš minēto </w:t>
            </w:r>
            <w:r w:rsidR="001069B6" w:rsidRPr="0007358F">
              <w:rPr>
                <w:rFonts w:ascii="Times New Roman" w:eastAsia="Times New Roman" w:hAnsi="Times New Roman" w:cs="Times New Roman"/>
                <w:sz w:val="24"/>
                <w:szCs w:val="24"/>
                <w:lang w:eastAsia="lv-LV"/>
              </w:rPr>
              <w:t>iespējams īstenot vienīgi, veicot grozījumus nor</w:t>
            </w:r>
            <w:r w:rsidRPr="0007358F">
              <w:rPr>
                <w:rFonts w:ascii="Times New Roman" w:eastAsia="Times New Roman" w:hAnsi="Times New Roman" w:cs="Times New Roman"/>
                <w:sz w:val="24"/>
                <w:szCs w:val="24"/>
                <w:lang w:eastAsia="lv-LV"/>
              </w:rPr>
              <w:t xml:space="preserve">matīvajos aktos, </w:t>
            </w:r>
            <w:r w:rsidRPr="002C65D9">
              <w:rPr>
                <w:rFonts w:ascii="Times New Roman" w:eastAsia="Times New Roman" w:hAnsi="Times New Roman" w:cs="Times New Roman"/>
                <w:sz w:val="24"/>
                <w:szCs w:val="24"/>
                <w:lang w:eastAsia="lv-LV"/>
              </w:rPr>
              <w:t>izstrādāts likumprojekts “Grozījumi likumā “Par Latvijas Republikas Uzņēmumu reģistru” (turpmāk – Projekts). Projektā noteiktas</w:t>
            </w:r>
            <w:r w:rsidRPr="0007358F">
              <w:rPr>
                <w:rFonts w:ascii="Times New Roman" w:eastAsia="Times New Roman" w:hAnsi="Times New Roman" w:cs="Times New Roman"/>
                <w:sz w:val="24"/>
                <w:szCs w:val="24"/>
                <w:lang w:eastAsia="lv-LV"/>
              </w:rPr>
              <w:t xml:space="preserve"> tiesības UR nodot informāciju par iesniegtajiem pieteikumiem ierakstu izdarīšanai komercreģistrā </w:t>
            </w:r>
            <w:r w:rsidR="00965D9B">
              <w:rPr>
                <w:rFonts w:ascii="Times New Roman" w:eastAsia="Times New Roman" w:hAnsi="Times New Roman" w:cs="Times New Roman"/>
                <w:sz w:val="24"/>
                <w:szCs w:val="24"/>
                <w:lang w:eastAsia="lv-LV"/>
              </w:rPr>
              <w:t>kompetentajām iestādēm</w:t>
            </w:r>
            <w:r w:rsidRPr="0007358F">
              <w:rPr>
                <w:rFonts w:ascii="Times New Roman" w:eastAsia="Times New Roman" w:hAnsi="Times New Roman" w:cs="Times New Roman"/>
                <w:sz w:val="24"/>
                <w:szCs w:val="24"/>
                <w:lang w:eastAsia="lv-LV"/>
              </w:rPr>
              <w:t>, kā arī UR tiesības atteikt ieraksta izdarīšanu komercreģistrā</w:t>
            </w:r>
            <w:r w:rsidR="003B61DF">
              <w:rPr>
                <w:rFonts w:ascii="Times New Roman" w:eastAsia="Times New Roman" w:hAnsi="Times New Roman" w:cs="Times New Roman"/>
                <w:sz w:val="24"/>
                <w:szCs w:val="24"/>
                <w:lang w:eastAsia="lv-LV"/>
              </w:rPr>
              <w:t xml:space="preserve">, </w:t>
            </w:r>
            <w:r w:rsidR="003B61DF" w:rsidRPr="003B61DF">
              <w:rPr>
                <w:rFonts w:ascii="Times New Roman" w:eastAsia="Times New Roman" w:hAnsi="Times New Roman" w:cs="Times New Roman"/>
                <w:sz w:val="24"/>
                <w:szCs w:val="24"/>
                <w:lang w:eastAsia="lv-LV"/>
              </w:rPr>
              <w:t>izvērtējot kompetentās iestādes atzinumā sniegto vērtējumu, norādītos riskus saistībā ar tiesību subjekta nolūku veikt tiesisku komercdarbību</w:t>
            </w:r>
            <w:r w:rsidRPr="0007358F">
              <w:rPr>
                <w:rFonts w:ascii="Times New Roman" w:eastAsia="Times New Roman" w:hAnsi="Times New Roman" w:cs="Times New Roman"/>
                <w:sz w:val="24"/>
                <w:szCs w:val="24"/>
                <w:lang w:eastAsia="lv-LV"/>
              </w:rPr>
              <w:t xml:space="preserve">. </w:t>
            </w:r>
          </w:p>
          <w:p w14:paraId="335C4117" w14:textId="061EA4C9" w:rsidR="00682BE4" w:rsidRDefault="00682BE4" w:rsidP="000505A3">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Turklāt ir jāņem vēr</w:t>
            </w:r>
            <w:r w:rsidR="002B350D">
              <w:rPr>
                <w:rFonts w:ascii="Times New Roman" w:eastAsia="Times New Roman" w:hAnsi="Times New Roman" w:cs="Times New Roman"/>
                <w:sz w:val="24"/>
                <w:szCs w:val="24"/>
                <w:lang w:eastAsia="lv-LV"/>
              </w:rPr>
              <w:t>ā</w:t>
            </w:r>
            <w:r>
              <w:rPr>
                <w:rFonts w:ascii="Times New Roman" w:eastAsia="Times New Roman" w:hAnsi="Times New Roman" w:cs="Times New Roman"/>
                <w:sz w:val="24"/>
                <w:szCs w:val="24"/>
                <w:lang w:eastAsia="lv-LV"/>
              </w:rPr>
              <w:t>, ka ne vienmēr konkrēts riska pazīmju kopums novestu pie atteikuma reģistrēt pieteiktās ziņas (jaunu komersantu vai izmaiņas jau eksistējošam). UR un kontroles iestā</w:t>
            </w:r>
            <w:r w:rsidR="004A7F42">
              <w:rPr>
                <w:rFonts w:ascii="Times New Roman" w:eastAsia="Times New Roman" w:hAnsi="Times New Roman" w:cs="Times New Roman"/>
                <w:sz w:val="24"/>
                <w:szCs w:val="24"/>
                <w:lang w:eastAsia="lv-LV"/>
              </w:rPr>
              <w:t>dēm</w:t>
            </w:r>
            <w:r>
              <w:rPr>
                <w:rFonts w:ascii="Times New Roman" w:eastAsia="Times New Roman" w:hAnsi="Times New Roman" w:cs="Times New Roman"/>
                <w:sz w:val="24"/>
                <w:szCs w:val="24"/>
                <w:lang w:eastAsia="lv-LV"/>
              </w:rPr>
              <w:t xml:space="preserve"> savstarpējā sadarbībā būtu jāapmainās arī ar informāciju par to, ka konkrētā gadījumā UR ir veicis </w:t>
            </w:r>
            <w:r>
              <w:rPr>
                <w:rFonts w:ascii="Times New Roman" w:eastAsia="Times New Roman" w:hAnsi="Times New Roman" w:cs="Times New Roman"/>
                <w:sz w:val="24"/>
                <w:szCs w:val="24"/>
                <w:lang w:eastAsia="lv-LV"/>
              </w:rPr>
              <w:lastRenderedPageBreak/>
              <w:t>reģistrāciju, kaut ir bijušas atsevišķas riska pazīmes. Tādējādi kontrolējošo iestāžu rīcībā būtu papildu pazīmes, kas liecinātu, ka attiecīgā subjekta darbībām ir savlaicīgi jāpievērš papildu uzmanība.</w:t>
            </w:r>
          </w:p>
          <w:p w14:paraId="335C4118" w14:textId="77777777" w:rsidR="00730019" w:rsidRDefault="00730019" w:rsidP="0011088B">
            <w:pPr>
              <w:spacing w:after="0" w:line="240" w:lineRule="auto"/>
              <w:ind w:firstLine="284"/>
              <w:jc w:val="both"/>
              <w:rPr>
                <w:rFonts w:ascii="Times New Roman" w:eastAsia="Times New Roman" w:hAnsi="Times New Roman" w:cs="Times New Roman"/>
                <w:sz w:val="24"/>
                <w:szCs w:val="24"/>
                <w:lang w:eastAsia="lv-LV"/>
              </w:rPr>
            </w:pPr>
            <w:r w:rsidRPr="00730019">
              <w:rPr>
                <w:rFonts w:ascii="Times New Roman" w:eastAsia="Times New Roman" w:hAnsi="Times New Roman" w:cs="Times New Roman"/>
                <w:sz w:val="24"/>
                <w:szCs w:val="24"/>
                <w:lang w:eastAsia="lv-LV"/>
              </w:rPr>
              <w:t>Vienlaikus jāņem vērā, ka riska vadības sistēmas pilnveidošanai</w:t>
            </w:r>
            <w:r>
              <w:rPr>
                <w:rFonts w:ascii="Times New Roman" w:eastAsia="Times New Roman" w:hAnsi="Times New Roman" w:cs="Times New Roman"/>
                <w:sz w:val="24"/>
                <w:szCs w:val="24"/>
                <w:lang w:eastAsia="lv-LV"/>
              </w:rPr>
              <w:t>, lai risku vadību varētu veikt automātiski, izvairoties no subjektīviem pieņēmumiem un tā būtu pietiekami droša,</w:t>
            </w:r>
            <w:r w:rsidRPr="00730019">
              <w:rPr>
                <w:rFonts w:ascii="Times New Roman" w:eastAsia="Times New Roman" w:hAnsi="Times New Roman" w:cs="Times New Roman"/>
                <w:sz w:val="24"/>
                <w:szCs w:val="24"/>
                <w:lang w:eastAsia="lv-LV"/>
              </w:rPr>
              <w:t xml:space="preserve"> UR nepieciešami UR informācijas sistēmas pielāgojumi riskanto gadījumu atpazīšanai</w:t>
            </w:r>
            <w:r w:rsidR="00682BE4">
              <w:rPr>
                <w:rFonts w:ascii="Times New Roman" w:eastAsia="Times New Roman" w:hAnsi="Times New Roman" w:cs="Times New Roman"/>
                <w:sz w:val="24"/>
                <w:szCs w:val="24"/>
                <w:lang w:eastAsia="lv-LV"/>
              </w:rPr>
              <w:t>. Līdz ar to ieviešana notiks pakāpeniski</w:t>
            </w:r>
            <w:r w:rsidRPr="00730019">
              <w:rPr>
                <w:rFonts w:ascii="Times New Roman" w:eastAsia="Times New Roman" w:hAnsi="Times New Roman" w:cs="Times New Roman"/>
                <w:sz w:val="24"/>
                <w:szCs w:val="24"/>
                <w:lang w:eastAsia="lv-LV"/>
              </w:rPr>
              <w:t>.</w:t>
            </w:r>
          </w:p>
          <w:p w14:paraId="335C4119" w14:textId="72228E30" w:rsidR="001A7787" w:rsidRPr="0007358F" w:rsidRDefault="001A7787" w:rsidP="006D6BA8">
            <w:pPr>
              <w:spacing w:after="0" w:line="240" w:lineRule="auto"/>
              <w:ind w:firstLine="284"/>
              <w:jc w:val="both"/>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 xml:space="preserve">Kritēriji, uz kuru pamata </w:t>
            </w:r>
            <w:r w:rsidR="00965D9B">
              <w:rPr>
                <w:rFonts w:ascii="Times New Roman" w:eastAsia="Times New Roman" w:hAnsi="Times New Roman" w:cs="Times New Roman"/>
                <w:sz w:val="24"/>
                <w:szCs w:val="24"/>
                <w:lang w:eastAsia="lv-LV"/>
              </w:rPr>
              <w:t>kompetentā iestāde</w:t>
            </w:r>
            <w:r w:rsidR="00965D9B" w:rsidRPr="0007358F">
              <w:rPr>
                <w:rFonts w:ascii="Times New Roman" w:eastAsia="Times New Roman" w:hAnsi="Times New Roman" w:cs="Times New Roman"/>
                <w:sz w:val="24"/>
                <w:szCs w:val="24"/>
                <w:lang w:eastAsia="lv-LV"/>
              </w:rPr>
              <w:t xml:space="preserve"> </w:t>
            </w:r>
            <w:r w:rsidRPr="0007358F">
              <w:rPr>
                <w:rFonts w:ascii="Times New Roman" w:eastAsia="Times New Roman" w:hAnsi="Times New Roman" w:cs="Times New Roman"/>
                <w:sz w:val="24"/>
                <w:szCs w:val="24"/>
                <w:lang w:eastAsia="lv-LV"/>
              </w:rPr>
              <w:t xml:space="preserve">varētu </w:t>
            </w:r>
            <w:r w:rsidR="006D6BA8">
              <w:rPr>
                <w:rFonts w:ascii="Times New Roman" w:eastAsia="Times New Roman" w:hAnsi="Times New Roman" w:cs="Times New Roman"/>
                <w:sz w:val="24"/>
                <w:szCs w:val="24"/>
                <w:lang w:eastAsia="lv-LV"/>
              </w:rPr>
              <w:t>sniegt atzinumu</w:t>
            </w:r>
            <w:r w:rsidRPr="0007358F">
              <w:rPr>
                <w:rFonts w:ascii="Times New Roman" w:eastAsia="Times New Roman" w:hAnsi="Times New Roman" w:cs="Times New Roman"/>
                <w:sz w:val="24"/>
                <w:szCs w:val="24"/>
                <w:lang w:eastAsia="lv-LV"/>
              </w:rPr>
              <w:t xml:space="preserve">, </w:t>
            </w:r>
            <w:r w:rsidR="006D6BA8">
              <w:rPr>
                <w:rFonts w:ascii="Times New Roman" w:eastAsia="Times New Roman" w:hAnsi="Times New Roman" w:cs="Times New Roman"/>
                <w:sz w:val="24"/>
                <w:szCs w:val="24"/>
                <w:lang w:eastAsia="lv-LV"/>
              </w:rPr>
              <w:t xml:space="preserve">vērtējot </w:t>
            </w:r>
            <w:r w:rsidRPr="0007358F">
              <w:rPr>
                <w:rFonts w:ascii="Times New Roman" w:eastAsia="Times New Roman" w:hAnsi="Times New Roman" w:cs="Times New Roman"/>
                <w:sz w:val="24"/>
                <w:szCs w:val="24"/>
                <w:lang w:eastAsia="lv-LV"/>
              </w:rPr>
              <w:t xml:space="preserve">komercdarbības vides apdraudējumu, kā arī attiecīgo </w:t>
            </w:r>
            <w:r w:rsidR="006D6BA8">
              <w:rPr>
                <w:rFonts w:ascii="Times New Roman" w:eastAsia="Times New Roman" w:hAnsi="Times New Roman" w:cs="Times New Roman"/>
                <w:sz w:val="24"/>
                <w:szCs w:val="24"/>
                <w:lang w:eastAsia="lv-LV"/>
              </w:rPr>
              <w:t>atzinumu sagatavošanas</w:t>
            </w:r>
            <w:r w:rsidR="006D6BA8" w:rsidRPr="0007358F">
              <w:rPr>
                <w:rFonts w:ascii="Times New Roman" w:eastAsia="Times New Roman" w:hAnsi="Times New Roman" w:cs="Times New Roman"/>
                <w:sz w:val="24"/>
                <w:szCs w:val="24"/>
                <w:lang w:eastAsia="lv-LV"/>
              </w:rPr>
              <w:t xml:space="preserve"> </w:t>
            </w:r>
            <w:r w:rsidRPr="0007358F">
              <w:rPr>
                <w:rFonts w:ascii="Times New Roman" w:eastAsia="Times New Roman" w:hAnsi="Times New Roman" w:cs="Times New Roman"/>
                <w:sz w:val="24"/>
                <w:szCs w:val="24"/>
                <w:lang w:eastAsia="lv-LV"/>
              </w:rPr>
              <w:t xml:space="preserve">procedūras, </w:t>
            </w:r>
            <w:r w:rsidR="00965D9B">
              <w:rPr>
                <w:rFonts w:ascii="Times New Roman" w:eastAsia="Times New Roman" w:hAnsi="Times New Roman" w:cs="Times New Roman"/>
                <w:sz w:val="24"/>
                <w:szCs w:val="24"/>
                <w:lang w:eastAsia="lv-LV"/>
              </w:rPr>
              <w:t>vērtējama</w:t>
            </w:r>
            <w:r w:rsidR="006D6BA8">
              <w:rPr>
                <w:rFonts w:ascii="Times New Roman" w:eastAsia="Times New Roman" w:hAnsi="Times New Roman" w:cs="Times New Roman"/>
                <w:sz w:val="24"/>
                <w:szCs w:val="24"/>
                <w:lang w:eastAsia="lv-LV"/>
              </w:rPr>
              <w:t>s</w:t>
            </w:r>
            <w:r w:rsidR="00965D9B">
              <w:rPr>
                <w:rFonts w:ascii="Times New Roman" w:eastAsia="Times New Roman" w:hAnsi="Times New Roman" w:cs="Times New Roman"/>
                <w:sz w:val="24"/>
                <w:szCs w:val="24"/>
                <w:lang w:eastAsia="lv-LV"/>
              </w:rPr>
              <w:t xml:space="preserve"> katras kompetentās iestādes</w:t>
            </w:r>
            <w:r w:rsidRPr="0007358F">
              <w:rPr>
                <w:rFonts w:ascii="Times New Roman" w:eastAsia="Times New Roman" w:hAnsi="Times New Roman" w:cs="Times New Roman"/>
                <w:sz w:val="24"/>
                <w:szCs w:val="24"/>
                <w:lang w:eastAsia="lv-LV"/>
              </w:rPr>
              <w:t xml:space="preserve"> darbību regulējošo normatīvo akt</w:t>
            </w:r>
            <w:r w:rsidR="00965D9B">
              <w:rPr>
                <w:rFonts w:ascii="Times New Roman" w:eastAsia="Times New Roman" w:hAnsi="Times New Roman" w:cs="Times New Roman"/>
                <w:sz w:val="24"/>
                <w:szCs w:val="24"/>
                <w:lang w:eastAsia="lv-LV"/>
              </w:rPr>
              <w:t>u kontekstā</w:t>
            </w:r>
            <w:r w:rsidRPr="0007358F">
              <w:rPr>
                <w:rFonts w:ascii="Times New Roman" w:eastAsia="Times New Roman" w:hAnsi="Times New Roman" w:cs="Times New Roman"/>
                <w:sz w:val="24"/>
                <w:szCs w:val="24"/>
                <w:lang w:eastAsia="lv-LV"/>
              </w:rPr>
              <w:t xml:space="preserve">. </w:t>
            </w:r>
          </w:p>
        </w:tc>
      </w:tr>
      <w:tr w:rsidR="00274617" w:rsidRPr="0007358F" w14:paraId="335C411E" w14:textId="77777777" w:rsidTr="006146C1">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35C411B" w14:textId="77777777" w:rsidR="004D15A9" w:rsidRPr="0007358F" w:rsidRDefault="004D15A9" w:rsidP="00DA596D">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lastRenderedPageBreak/>
              <w:t>3.</w:t>
            </w:r>
          </w:p>
        </w:tc>
        <w:tc>
          <w:tcPr>
            <w:tcW w:w="1311" w:type="pct"/>
            <w:tcBorders>
              <w:top w:val="outset" w:sz="6" w:space="0" w:color="414142"/>
              <w:left w:val="outset" w:sz="6" w:space="0" w:color="414142"/>
              <w:bottom w:val="outset" w:sz="6" w:space="0" w:color="414142"/>
              <w:right w:val="outset" w:sz="6" w:space="0" w:color="414142"/>
            </w:tcBorders>
            <w:hideMark/>
          </w:tcPr>
          <w:p w14:paraId="335C411C" w14:textId="77777777" w:rsidR="004D15A9" w:rsidRPr="0007358F" w:rsidRDefault="004D15A9" w:rsidP="00671A84">
            <w:pPr>
              <w:spacing w:after="0" w:line="240" w:lineRule="auto"/>
              <w:jc w:val="both"/>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Projekta izstrādē iesaistītās institūcijas</w:t>
            </w:r>
          </w:p>
        </w:tc>
        <w:tc>
          <w:tcPr>
            <w:tcW w:w="3439" w:type="pct"/>
            <w:tcBorders>
              <w:top w:val="outset" w:sz="6" w:space="0" w:color="414142"/>
              <w:left w:val="outset" w:sz="6" w:space="0" w:color="414142"/>
              <w:bottom w:val="outset" w:sz="6" w:space="0" w:color="414142"/>
              <w:right w:val="outset" w:sz="6" w:space="0" w:color="414142"/>
            </w:tcBorders>
            <w:hideMark/>
          </w:tcPr>
          <w:p w14:paraId="335C411D" w14:textId="77777777" w:rsidR="004D15A9" w:rsidRPr="0007358F" w:rsidRDefault="00B46D90" w:rsidP="00894854">
            <w:pPr>
              <w:spacing w:after="0" w:line="240" w:lineRule="auto"/>
              <w:ind w:firstLine="284"/>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 xml:space="preserve">Tieslietu ministrija, </w:t>
            </w:r>
            <w:r w:rsidR="00894854" w:rsidRPr="0007358F">
              <w:rPr>
                <w:rFonts w:ascii="Times New Roman" w:eastAsia="Times New Roman" w:hAnsi="Times New Roman" w:cs="Times New Roman"/>
                <w:sz w:val="24"/>
                <w:szCs w:val="24"/>
                <w:lang w:eastAsia="lv-LV"/>
              </w:rPr>
              <w:t>UR</w:t>
            </w:r>
            <w:r w:rsidR="004B3910" w:rsidRPr="0007358F">
              <w:rPr>
                <w:rFonts w:ascii="Times New Roman" w:eastAsia="Times New Roman" w:hAnsi="Times New Roman" w:cs="Times New Roman"/>
                <w:sz w:val="24"/>
                <w:szCs w:val="24"/>
                <w:lang w:eastAsia="lv-LV"/>
              </w:rPr>
              <w:t>.</w:t>
            </w:r>
          </w:p>
        </w:tc>
      </w:tr>
      <w:tr w:rsidR="00274617" w:rsidRPr="0007358F" w14:paraId="335C4122" w14:textId="77777777" w:rsidTr="006146C1">
        <w:tc>
          <w:tcPr>
            <w:tcW w:w="250" w:type="pct"/>
            <w:tcBorders>
              <w:top w:val="outset" w:sz="6" w:space="0" w:color="414142"/>
              <w:left w:val="outset" w:sz="6" w:space="0" w:color="414142"/>
              <w:bottom w:val="single" w:sz="4" w:space="0" w:color="auto"/>
              <w:right w:val="outset" w:sz="6" w:space="0" w:color="414142"/>
            </w:tcBorders>
            <w:hideMark/>
          </w:tcPr>
          <w:p w14:paraId="335C411F" w14:textId="77777777" w:rsidR="004D15A9" w:rsidRPr="0007358F" w:rsidRDefault="004D15A9" w:rsidP="00DA596D">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4.</w:t>
            </w:r>
          </w:p>
        </w:tc>
        <w:tc>
          <w:tcPr>
            <w:tcW w:w="1311" w:type="pct"/>
            <w:tcBorders>
              <w:top w:val="outset" w:sz="6" w:space="0" w:color="414142"/>
              <w:left w:val="outset" w:sz="6" w:space="0" w:color="414142"/>
              <w:bottom w:val="single" w:sz="4" w:space="0" w:color="auto"/>
              <w:right w:val="outset" w:sz="6" w:space="0" w:color="414142"/>
            </w:tcBorders>
            <w:hideMark/>
          </w:tcPr>
          <w:p w14:paraId="335C4120" w14:textId="77777777" w:rsidR="004D15A9" w:rsidRPr="0007358F" w:rsidRDefault="004D15A9" w:rsidP="00671A84">
            <w:pPr>
              <w:spacing w:after="0" w:line="240" w:lineRule="auto"/>
              <w:jc w:val="both"/>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Cita informācija</w:t>
            </w:r>
          </w:p>
        </w:tc>
        <w:tc>
          <w:tcPr>
            <w:tcW w:w="3439" w:type="pct"/>
            <w:tcBorders>
              <w:top w:val="outset" w:sz="6" w:space="0" w:color="414142"/>
              <w:left w:val="outset" w:sz="6" w:space="0" w:color="414142"/>
              <w:bottom w:val="single" w:sz="4" w:space="0" w:color="auto"/>
              <w:right w:val="outset" w:sz="6" w:space="0" w:color="414142"/>
            </w:tcBorders>
            <w:hideMark/>
          </w:tcPr>
          <w:p w14:paraId="335C4121" w14:textId="77777777" w:rsidR="004D15A9" w:rsidRPr="0007358F" w:rsidRDefault="00661F44" w:rsidP="00661F44">
            <w:pPr>
              <w:spacing w:after="0" w:line="240" w:lineRule="auto"/>
              <w:ind w:firstLine="284"/>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Nav.</w:t>
            </w:r>
          </w:p>
        </w:tc>
      </w:tr>
      <w:tr w:rsidR="005D4E8A" w:rsidRPr="0007358F" w14:paraId="335C4124" w14:textId="77777777" w:rsidTr="00A84B38">
        <w:trPr>
          <w:trHeight w:val="128"/>
        </w:trPr>
        <w:tc>
          <w:tcPr>
            <w:tcW w:w="5000" w:type="pct"/>
            <w:gridSpan w:val="3"/>
            <w:tcBorders>
              <w:top w:val="single" w:sz="4" w:space="0" w:color="auto"/>
              <w:left w:val="nil"/>
              <w:bottom w:val="nil"/>
              <w:right w:val="nil"/>
            </w:tcBorders>
          </w:tcPr>
          <w:p w14:paraId="335C4123" w14:textId="77777777" w:rsidR="00031256" w:rsidRPr="0007358F" w:rsidRDefault="0081203F" w:rsidP="0081203F">
            <w:pPr>
              <w:tabs>
                <w:tab w:val="left" w:pos="990"/>
              </w:tabs>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ab/>
            </w:r>
          </w:p>
        </w:tc>
      </w:tr>
    </w:tbl>
    <w:p w14:paraId="335C4125" w14:textId="77777777" w:rsidR="004D15A9" w:rsidRPr="0007358F" w:rsidRDefault="004D15A9" w:rsidP="00DA596D">
      <w:pPr>
        <w:spacing w:after="0" w:line="240" w:lineRule="auto"/>
        <w:rPr>
          <w:rFonts w:ascii="Times New Roman" w:eastAsia="Times New Roman" w:hAnsi="Times New Roman" w:cs="Times New Roman"/>
          <w:vanish/>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
        <w:gridCol w:w="328"/>
        <w:gridCol w:w="2906"/>
        <w:gridCol w:w="1206"/>
        <w:gridCol w:w="1180"/>
        <w:gridCol w:w="1253"/>
        <w:gridCol w:w="1140"/>
        <w:gridCol w:w="1109"/>
      </w:tblGrid>
      <w:tr w:rsidR="00274617" w:rsidRPr="0007358F" w14:paraId="335C4127" w14:textId="77777777" w:rsidTr="007C63DD">
        <w:trPr>
          <w:trHeight w:val="555"/>
        </w:trPr>
        <w:tc>
          <w:tcPr>
            <w:tcW w:w="5000" w:type="pct"/>
            <w:gridSpan w:val="8"/>
            <w:tcBorders>
              <w:top w:val="single" w:sz="4" w:space="0" w:color="auto"/>
              <w:left w:val="outset" w:sz="6" w:space="0" w:color="414142"/>
              <w:bottom w:val="single" w:sz="4" w:space="0" w:color="auto"/>
              <w:right w:val="outset" w:sz="6" w:space="0" w:color="414142"/>
            </w:tcBorders>
            <w:vAlign w:val="center"/>
            <w:hideMark/>
          </w:tcPr>
          <w:p w14:paraId="335C4126" w14:textId="77777777" w:rsidR="004D15A9" w:rsidRPr="0007358F"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07358F">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274617" w:rsidRPr="0007358F" w14:paraId="335C412C" w14:textId="77777777" w:rsidTr="00FF74F5">
        <w:trPr>
          <w:trHeight w:val="465"/>
        </w:trPr>
        <w:tc>
          <w:tcPr>
            <w:tcW w:w="193" w:type="pct"/>
            <w:gridSpan w:val="2"/>
            <w:tcBorders>
              <w:top w:val="single" w:sz="4" w:space="0" w:color="auto"/>
              <w:left w:val="outset" w:sz="6" w:space="0" w:color="414142"/>
              <w:bottom w:val="outset" w:sz="6" w:space="0" w:color="414142"/>
              <w:right w:val="outset" w:sz="6" w:space="0" w:color="414142"/>
            </w:tcBorders>
            <w:hideMark/>
          </w:tcPr>
          <w:p w14:paraId="335C4128" w14:textId="77777777" w:rsidR="004D15A9" w:rsidRPr="0007358F" w:rsidRDefault="004D15A9" w:rsidP="00DA596D">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1.</w:t>
            </w:r>
          </w:p>
        </w:tc>
        <w:tc>
          <w:tcPr>
            <w:tcW w:w="1595" w:type="pct"/>
            <w:tcBorders>
              <w:top w:val="single" w:sz="4" w:space="0" w:color="auto"/>
              <w:left w:val="outset" w:sz="6" w:space="0" w:color="414142"/>
              <w:bottom w:val="outset" w:sz="6" w:space="0" w:color="414142"/>
              <w:right w:val="outset" w:sz="6" w:space="0" w:color="414142"/>
            </w:tcBorders>
            <w:hideMark/>
          </w:tcPr>
          <w:p w14:paraId="335C4129" w14:textId="77777777" w:rsidR="004D15A9" w:rsidRPr="0007358F" w:rsidRDefault="004D15A9" w:rsidP="00671A84">
            <w:pPr>
              <w:spacing w:after="0" w:line="240" w:lineRule="auto"/>
              <w:jc w:val="both"/>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Sabiedrības mērķgrupas, kuras tiesiskais regulējums ietekmē vai varētu ietekmēt</w:t>
            </w:r>
          </w:p>
        </w:tc>
        <w:tc>
          <w:tcPr>
            <w:tcW w:w="3212" w:type="pct"/>
            <w:gridSpan w:val="5"/>
            <w:tcBorders>
              <w:top w:val="single" w:sz="4" w:space="0" w:color="auto"/>
              <w:left w:val="outset" w:sz="6" w:space="0" w:color="414142"/>
              <w:bottom w:val="outset" w:sz="6" w:space="0" w:color="414142"/>
              <w:right w:val="outset" w:sz="6" w:space="0" w:color="414142"/>
            </w:tcBorders>
            <w:hideMark/>
          </w:tcPr>
          <w:p w14:paraId="335C412A" w14:textId="77777777" w:rsidR="0041337B" w:rsidRPr="0007358F" w:rsidRDefault="004A00F2" w:rsidP="0041337B">
            <w:pPr>
              <w:spacing w:after="0" w:line="240" w:lineRule="auto"/>
              <w:ind w:firstLine="284"/>
              <w:jc w:val="both"/>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 xml:space="preserve">Tiesiskais regulējums attiecināms uz komercreģistrā jau reģistrētajiem komersantiem, kā arī tiem, kas nākotnē iesniegs pieteikumus komersanta ierakstīšanai komercreģistrā. Vienlaikus tieša ietekme Projekta regulējumam būs vienīgi uz tiem komersantiem, kuru pieteikumos tiks identificēti riska kritēriji. </w:t>
            </w:r>
          </w:p>
          <w:p w14:paraId="335C412B" w14:textId="26C9E24E" w:rsidR="003A76EB" w:rsidRPr="0007358F" w:rsidRDefault="00352D64">
            <w:pPr>
              <w:spacing w:after="0" w:line="240" w:lineRule="auto"/>
              <w:ind w:firstLine="284"/>
              <w:jc w:val="both"/>
              <w:rPr>
                <w:rFonts w:ascii="Times New Roman" w:eastAsia="Times New Roman" w:hAnsi="Times New Roman" w:cs="Times New Roman"/>
                <w:color w:val="FF0000"/>
                <w:sz w:val="24"/>
                <w:szCs w:val="24"/>
                <w:lang w:eastAsia="lv-LV"/>
              </w:rPr>
            </w:pPr>
            <w:r w:rsidRPr="0007358F">
              <w:rPr>
                <w:rFonts w:ascii="Times New Roman" w:eastAsia="Times New Roman" w:hAnsi="Times New Roman" w:cs="Times New Roman"/>
                <w:sz w:val="24"/>
                <w:szCs w:val="24"/>
                <w:lang w:eastAsia="lv-LV"/>
              </w:rPr>
              <w:t>T</w:t>
            </w:r>
            <w:r w:rsidR="0041337B" w:rsidRPr="0007358F">
              <w:rPr>
                <w:rFonts w:ascii="Times New Roman" w:eastAsia="Times New Roman" w:hAnsi="Times New Roman" w:cs="Times New Roman"/>
                <w:sz w:val="24"/>
                <w:szCs w:val="24"/>
                <w:lang w:eastAsia="lv-LV"/>
              </w:rPr>
              <w:t>āpat t</w:t>
            </w:r>
            <w:r w:rsidRPr="0007358F">
              <w:rPr>
                <w:rFonts w:ascii="Times New Roman" w:eastAsia="Times New Roman" w:hAnsi="Times New Roman" w:cs="Times New Roman"/>
                <w:sz w:val="24"/>
                <w:szCs w:val="24"/>
                <w:lang w:eastAsia="lv-LV"/>
              </w:rPr>
              <w:t xml:space="preserve">iesiskais regulējums attiecināms uz </w:t>
            </w:r>
            <w:r w:rsidR="00894854" w:rsidRPr="0007358F">
              <w:rPr>
                <w:rFonts w:ascii="Times New Roman" w:eastAsia="Times New Roman" w:hAnsi="Times New Roman" w:cs="Times New Roman"/>
                <w:sz w:val="24"/>
                <w:szCs w:val="24"/>
                <w:lang w:eastAsia="lv-LV"/>
              </w:rPr>
              <w:t>UR</w:t>
            </w:r>
            <w:r w:rsidR="003A76EB" w:rsidRPr="0007358F">
              <w:rPr>
                <w:rFonts w:ascii="Times New Roman" w:eastAsia="Times New Roman" w:hAnsi="Times New Roman" w:cs="Times New Roman"/>
                <w:sz w:val="24"/>
                <w:szCs w:val="24"/>
                <w:lang w:eastAsia="lv-LV"/>
              </w:rPr>
              <w:t xml:space="preserve">, nosakot </w:t>
            </w:r>
            <w:r w:rsidR="0041337B" w:rsidRPr="0007358F">
              <w:rPr>
                <w:rFonts w:ascii="Times New Roman" w:eastAsia="Times New Roman" w:hAnsi="Times New Roman" w:cs="Times New Roman"/>
                <w:sz w:val="24"/>
                <w:szCs w:val="24"/>
                <w:lang w:eastAsia="lv-LV"/>
              </w:rPr>
              <w:t>iestādei</w:t>
            </w:r>
            <w:r w:rsidR="004A00F2" w:rsidRPr="0007358F">
              <w:rPr>
                <w:rFonts w:ascii="Times New Roman" w:eastAsia="Times New Roman" w:hAnsi="Times New Roman" w:cs="Times New Roman"/>
                <w:sz w:val="24"/>
                <w:szCs w:val="24"/>
                <w:lang w:eastAsia="lv-LV"/>
              </w:rPr>
              <w:t xml:space="preserve"> papildu pienākumus</w:t>
            </w:r>
            <w:r w:rsidR="00FF74F5">
              <w:rPr>
                <w:rFonts w:ascii="Times New Roman" w:eastAsia="Times New Roman" w:hAnsi="Times New Roman" w:cs="Times New Roman"/>
                <w:sz w:val="24"/>
                <w:szCs w:val="24"/>
                <w:lang w:eastAsia="lv-LV"/>
              </w:rPr>
              <w:t>,</w:t>
            </w:r>
            <w:r w:rsidR="004A00F2" w:rsidRPr="0007358F">
              <w:rPr>
                <w:rFonts w:ascii="Times New Roman" w:eastAsia="Times New Roman" w:hAnsi="Times New Roman" w:cs="Times New Roman"/>
                <w:sz w:val="24"/>
                <w:szCs w:val="24"/>
                <w:lang w:eastAsia="lv-LV"/>
              </w:rPr>
              <w:t xml:space="preserve"> un netieši arī uz VID, kas izvērtēs no UR saņemto informāciju</w:t>
            </w:r>
            <w:r w:rsidR="00FF74F5">
              <w:rPr>
                <w:rFonts w:ascii="Times New Roman" w:eastAsia="Times New Roman" w:hAnsi="Times New Roman" w:cs="Times New Roman"/>
                <w:sz w:val="24"/>
                <w:szCs w:val="24"/>
                <w:lang w:eastAsia="lv-LV"/>
              </w:rPr>
              <w:t>,</w:t>
            </w:r>
            <w:r w:rsidR="004A00F2" w:rsidRPr="0007358F">
              <w:rPr>
                <w:rFonts w:ascii="Times New Roman" w:eastAsia="Times New Roman" w:hAnsi="Times New Roman" w:cs="Times New Roman"/>
                <w:sz w:val="24"/>
                <w:szCs w:val="24"/>
                <w:lang w:eastAsia="lv-LV"/>
              </w:rPr>
              <w:t xml:space="preserve"> un konstatējot komercdarbības vides apdraudējumu, </w:t>
            </w:r>
            <w:r w:rsidR="006D6BA8">
              <w:rPr>
                <w:rFonts w:ascii="Times New Roman" w:eastAsia="Times New Roman" w:hAnsi="Times New Roman" w:cs="Times New Roman"/>
                <w:sz w:val="24"/>
                <w:szCs w:val="24"/>
                <w:lang w:eastAsia="lv-LV"/>
              </w:rPr>
              <w:t>sniegs par konstatēto atzinumu UR</w:t>
            </w:r>
            <w:r w:rsidR="003B61DF">
              <w:rPr>
                <w:rFonts w:ascii="Times New Roman" w:eastAsia="Times New Roman" w:hAnsi="Times New Roman" w:cs="Times New Roman"/>
                <w:sz w:val="24"/>
                <w:szCs w:val="24"/>
                <w:lang w:eastAsia="lv-LV"/>
              </w:rPr>
              <w:t xml:space="preserve">, </w:t>
            </w:r>
            <w:r w:rsidR="003B61DF" w:rsidRPr="003B61DF">
              <w:rPr>
                <w:rFonts w:ascii="Times New Roman" w:eastAsia="Times New Roman" w:hAnsi="Times New Roman" w:cs="Times New Roman"/>
                <w:sz w:val="24"/>
                <w:szCs w:val="24"/>
                <w:lang w:eastAsia="lv-LV"/>
              </w:rPr>
              <w:t>kurš</w:t>
            </w:r>
            <w:r w:rsidR="00937BCF">
              <w:rPr>
                <w:rFonts w:ascii="Times New Roman" w:eastAsia="Times New Roman" w:hAnsi="Times New Roman" w:cs="Times New Roman"/>
                <w:sz w:val="24"/>
                <w:szCs w:val="24"/>
                <w:lang w:eastAsia="lv-LV"/>
              </w:rPr>
              <w:t>,</w:t>
            </w:r>
            <w:r w:rsidR="003B61DF" w:rsidRPr="003B61DF">
              <w:rPr>
                <w:rFonts w:ascii="Times New Roman" w:eastAsia="Times New Roman" w:hAnsi="Times New Roman" w:cs="Times New Roman"/>
                <w:sz w:val="24"/>
                <w:szCs w:val="24"/>
                <w:lang w:eastAsia="lv-LV"/>
              </w:rPr>
              <w:t xml:space="preserve"> izvērtējot saņemto atzinumu</w:t>
            </w:r>
            <w:r w:rsidR="00937BCF">
              <w:rPr>
                <w:rFonts w:ascii="Times New Roman" w:eastAsia="Times New Roman" w:hAnsi="Times New Roman" w:cs="Times New Roman"/>
                <w:sz w:val="24"/>
                <w:szCs w:val="24"/>
                <w:lang w:eastAsia="lv-LV"/>
              </w:rPr>
              <w:t>,</w:t>
            </w:r>
            <w:r w:rsidR="003B61DF" w:rsidRPr="003B61DF">
              <w:rPr>
                <w:rFonts w:ascii="Times New Roman" w:eastAsia="Times New Roman" w:hAnsi="Times New Roman" w:cs="Times New Roman"/>
                <w:sz w:val="24"/>
                <w:szCs w:val="24"/>
                <w:lang w:eastAsia="lv-LV"/>
              </w:rPr>
              <w:t xml:space="preserve"> varēs pieņemt galīgo lēmumu par atteikumu reģistrēt dokumentu vai izdarīt ierakstu komercreģistrā</w:t>
            </w:r>
            <w:r w:rsidR="003B61DF">
              <w:rPr>
                <w:rFonts w:ascii="Times New Roman" w:eastAsia="Times New Roman" w:hAnsi="Times New Roman" w:cs="Times New Roman"/>
                <w:sz w:val="24"/>
                <w:szCs w:val="24"/>
                <w:lang w:eastAsia="lv-LV"/>
              </w:rPr>
              <w:t>.</w:t>
            </w:r>
            <w:r w:rsidR="004A00F2" w:rsidRPr="0007358F">
              <w:rPr>
                <w:rFonts w:ascii="Times New Roman" w:eastAsia="Times New Roman" w:hAnsi="Times New Roman" w:cs="Times New Roman"/>
                <w:sz w:val="24"/>
                <w:szCs w:val="24"/>
                <w:lang w:eastAsia="lv-LV"/>
              </w:rPr>
              <w:t xml:space="preserve"> </w:t>
            </w:r>
          </w:p>
        </w:tc>
      </w:tr>
      <w:tr w:rsidR="00274617" w:rsidRPr="0007358F" w14:paraId="335C4131" w14:textId="77777777" w:rsidTr="00FF74F5">
        <w:trPr>
          <w:trHeight w:val="510"/>
        </w:trPr>
        <w:tc>
          <w:tcPr>
            <w:tcW w:w="193" w:type="pct"/>
            <w:gridSpan w:val="2"/>
            <w:tcBorders>
              <w:top w:val="outset" w:sz="6" w:space="0" w:color="414142"/>
              <w:left w:val="outset" w:sz="6" w:space="0" w:color="414142"/>
              <w:bottom w:val="outset" w:sz="6" w:space="0" w:color="414142"/>
              <w:right w:val="outset" w:sz="6" w:space="0" w:color="414142"/>
            </w:tcBorders>
            <w:hideMark/>
          </w:tcPr>
          <w:p w14:paraId="335C412D" w14:textId="77777777" w:rsidR="004D15A9" w:rsidRPr="0007358F" w:rsidRDefault="004D15A9" w:rsidP="00DA596D">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2.</w:t>
            </w:r>
          </w:p>
        </w:tc>
        <w:tc>
          <w:tcPr>
            <w:tcW w:w="1595" w:type="pct"/>
            <w:tcBorders>
              <w:top w:val="outset" w:sz="6" w:space="0" w:color="414142"/>
              <w:left w:val="outset" w:sz="6" w:space="0" w:color="414142"/>
              <w:bottom w:val="outset" w:sz="6" w:space="0" w:color="414142"/>
              <w:right w:val="outset" w:sz="6" w:space="0" w:color="414142"/>
            </w:tcBorders>
            <w:hideMark/>
          </w:tcPr>
          <w:p w14:paraId="335C412E" w14:textId="77777777" w:rsidR="004D15A9" w:rsidRPr="0007358F" w:rsidRDefault="004D15A9" w:rsidP="00671A84">
            <w:pPr>
              <w:spacing w:after="0" w:line="240" w:lineRule="auto"/>
              <w:jc w:val="both"/>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Tiesiskā regulējuma ietekme uz tautsaimniecību un administratīvo slogu</w:t>
            </w:r>
          </w:p>
        </w:tc>
        <w:tc>
          <w:tcPr>
            <w:tcW w:w="3212" w:type="pct"/>
            <w:gridSpan w:val="5"/>
            <w:tcBorders>
              <w:top w:val="outset" w:sz="6" w:space="0" w:color="414142"/>
              <w:left w:val="outset" w:sz="6" w:space="0" w:color="414142"/>
              <w:bottom w:val="outset" w:sz="6" w:space="0" w:color="414142"/>
              <w:right w:val="outset" w:sz="6" w:space="0" w:color="414142"/>
            </w:tcBorders>
            <w:hideMark/>
          </w:tcPr>
          <w:p w14:paraId="335C412F" w14:textId="60A46346" w:rsidR="004A00F2" w:rsidRPr="0007358F" w:rsidRDefault="004A00F2" w:rsidP="00D97CFA">
            <w:pPr>
              <w:spacing w:after="0" w:line="240" w:lineRule="auto"/>
              <w:ind w:firstLine="284"/>
              <w:jc w:val="both"/>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 xml:space="preserve">Ņemot vērā, ka Projekts neparedz papildu dokumentus vai informāciju no komercreģistrā jau reģistrētajiem komersantiem, kā arī tiem, kas nākotnē iesniegs pieteikumus komersanta ierakstīšanai komercreģistrā, Projekts minētajai mērķgrupai nepalielina administratīvo slogu. </w:t>
            </w:r>
          </w:p>
          <w:p w14:paraId="335C4130" w14:textId="1D814D5F" w:rsidR="00EC5BC5" w:rsidRPr="0007358F" w:rsidRDefault="004A00F2" w:rsidP="00BE42E3">
            <w:pPr>
              <w:spacing w:after="0" w:line="240" w:lineRule="auto"/>
              <w:ind w:firstLine="284"/>
              <w:jc w:val="both"/>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Tiesiskais regulējums palielina administratīvo slogu UR un netieši arī VID, nosakot iestādēm papildu pienākumus. UR turpmāk</w:t>
            </w:r>
            <w:r w:rsidR="00BE42E3">
              <w:rPr>
                <w:rFonts w:ascii="Times New Roman" w:eastAsia="Times New Roman" w:hAnsi="Times New Roman" w:cs="Times New Roman"/>
                <w:sz w:val="24"/>
                <w:szCs w:val="24"/>
                <w:lang w:eastAsia="lv-LV"/>
              </w:rPr>
              <w:t>,</w:t>
            </w:r>
            <w:r w:rsidRPr="0007358F">
              <w:rPr>
                <w:rFonts w:ascii="Times New Roman" w:eastAsia="Times New Roman" w:hAnsi="Times New Roman" w:cs="Times New Roman"/>
                <w:sz w:val="24"/>
                <w:szCs w:val="24"/>
                <w:lang w:eastAsia="lv-LV"/>
              </w:rPr>
              <w:t xml:space="preserve"> izskatot komercreģistrā iesniegtos reģistrācijas pieteikumus, papildus līdz šim veiktajai dokumentu pārbaudei būs jāspēj arī identificēt gadījumi, kuros iespējams ierakstīšanai tiek pieteikts fiktīvs komersants vai arī jau reģistrētā komersanta reģistrācijas lietā tiek veiktas izmaiņas ar nolūku pārkāpt nodokļu jomu regulējošos normatīvos aktus. Attiecīgajos gadījumos UR nodos </w:t>
            </w:r>
            <w:r w:rsidRPr="0007358F">
              <w:rPr>
                <w:rFonts w:ascii="Times New Roman" w:eastAsia="Times New Roman" w:hAnsi="Times New Roman" w:cs="Times New Roman"/>
                <w:sz w:val="24"/>
                <w:szCs w:val="24"/>
                <w:lang w:eastAsia="lv-LV"/>
              </w:rPr>
              <w:lastRenderedPageBreak/>
              <w:t xml:space="preserve">informāciju par iesniegtajiem pieteikumiem VID, savukārt VID </w:t>
            </w:r>
            <w:r w:rsidR="006D6BA8">
              <w:rPr>
                <w:rFonts w:ascii="Times New Roman" w:eastAsia="Times New Roman" w:hAnsi="Times New Roman" w:cs="Times New Roman"/>
                <w:sz w:val="24"/>
                <w:szCs w:val="24"/>
                <w:lang w:eastAsia="lv-LV"/>
              </w:rPr>
              <w:t>sniegs atzinumu UR</w:t>
            </w:r>
            <w:r w:rsidRPr="0007358F">
              <w:rPr>
                <w:rFonts w:ascii="Times New Roman" w:eastAsia="Times New Roman" w:hAnsi="Times New Roman" w:cs="Times New Roman"/>
                <w:sz w:val="24"/>
                <w:szCs w:val="24"/>
                <w:lang w:eastAsia="lv-LV"/>
              </w:rPr>
              <w:t xml:space="preserve">. </w:t>
            </w:r>
            <w:r w:rsidR="0004287B">
              <w:rPr>
                <w:rFonts w:ascii="Times New Roman" w:eastAsia="Times New Roman" w:hAnsi="Times New Roman" w:cs="Times New Roman"/>
                <w:sz w:val="24"/>
                <w:szCs w:val="24"/>
                <w:lang w:eastAsia="lv-LV"/>
              </w:rPr>
              <w:t xml:space="preserve">Savukārt </w:t>
            </w:r>
            <w:r w:rsidR="0004287B" w:rsidRPr="0004287B">
              <w:rPr>
                <w:rFonts w:ascii="Times New Roman" w:eastAsia="Times New Roman" w:hAnsi="Times New Roman" w:cs="Times New Roman"/>
                <w:sz w:val="24"/>
                <w:szCs w:val="24"/>
                <w:lang w:eastAsia="lv-LV"/>
              </w:rPr>
              <w:t>UR, izvērtējot VID sniegto atzinumu, varēs pieņemt lēmumu par atteikumu izdarīt ierakstu komercreģistrā.</w:t>
            </w:r>
          </w:p>
        </w:tc>
      </w:tr>
      <w:tr w:rsidR="00274617" w:rsidRPr="0007358F" w14:paraId="335C4135" w14:textId="77777777" w:rsidTr="00FF74F5">
        <w:trPr>
          <w:trHeight w:val="510"/>
        </w:trPr>
        <w:tc>
          <w:tcPr>
            <w:tcW w:w="193" w:type="pct"/>
            <w:gridSpan w:val="2"/>
            <w:tcBorders>
              <w:top w:val="outset" w:sz="6" w:space="0" w:color="414142"/>
              <w:left w:val="outset" w:sz="6" w:space="0" w:color="414142"/>
              <w:bottom w:val="outset" w:sz="6" w:space="0" w:color="414142"/>
              <w:right w:val="outset" w:sz="6" w:space="0" w:color="414142"/>
            </w:tcBorders>
            <w:hideMark/>
          </w:tcPr>
          <w:p w14:paraId="335C4132" w14:textId="77777777" w:rsidR="004D15A9" w:rsidRPr="0007358F" w:rsidRDefault="004D15A9" w:rsidP="00DA596D">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lastRenderedPageBreak/>
              <w:t>3.</w:t>
            </w:r>
          </w:p>
        </w:tc>
        <w:tc>
          <w:tcPr>
            <w:tcW w:w="1595" w:type="pct"/>
            <w:tcBorders>
              <w:top w:val="outset" w:sz="6" w:space="0" w:color="414142"/>
              <w:left w:val="outset" w:sz="6" w:space="0" w:color="414142"/>
              <w:bottom w:val="outset" w:sz="6" w:space="0" w:color="414142"/>
              <w:right w:val="outset" w:sz="6" w:space="0" w:color="414142"/>
            </w:tcBorders>
            <w:hideMark/>
          </w:tcPr>
          <w:p w14:paraId="335C4133" w14:textId="77777777" w:rsidR="004D15A9" w:rsidRPr="0007358F" w:rsidRDefault="004D15A9" w:rsidP="00671A84">
            <w:pPr>
              <w:spacing w:after="0" w:line="240" w:lineRule="auto"/>
              <w:jc w:val="both"/>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Administratīvo izmaksu monetārs novērtējums</w:t>
            </w:r>
          </w:p>
        </w:tc>
        <w:tc>
          <w:tcPr>
            <w:tcW w:w="3212" w:type="pct"/>
            <w:gridSpan w:val="5"/>
            <w:tcBorders>
              <w:top w:val="outset" w:sz="6" w:space="0" w:color="414142"/>
              <w:left w:val="outset" w:sz="6" w:space="0" w:color="414142"/>
              <w:bottom w:val="outset" w:sz="6" w:space="0" w:color="414142"/>
              <w:right w:val="outset" w:sz="6" w:space="0" w:color="414142"/>
            </w:tcBorders>
            <w:hideMark/>
          </w:tcPr>
          <w:p w14:paraId="335C4134" w14:textId="77777777" w:rsidR="00DA5BFB" w:rsidRPr="0007358F" w:rsidRDefault="00352D64" w:rsidP="00344740">
            <w:pPr>
              <w:spacing w:after="0" w:line="240" w:lineRule="auto"/>
              <w:ind w:firstLine="284"/>
              <w:jc w:val="both"/>
              <w:rPr>
                <w:rFonts w:ascii="Times New Roman" w:hAnsi="Times New Roman" w:cs="Times New Roman"/>
                <w:sz w:val="24"/>
                <w:szCs w:val="24"/>
              </w:rPr>
            </w:pPr>
            <w:r w:rsidRPr="0007358F">
              <w:rPr>
                <w:rFonts w:ascii="Times New Roman" w:hAnsi="Times New Roman" w:cs="Times New Roman"/>
                <w:sz w:val="24"/>
                <w:szCs w:val="24"/>
              </w:rPr>
              <w:t>Ņemot vērā, ka Projekts neparedz jaunu informācijas sniegšanas pienākumu, anotācijas sadaļa nav aizpildāma.</w:t>
            </w:r>
          </w:p>
        </w:tc>
      </w:tr>
      <w:tr w:rsidR="00274617" w:rsidRPr="0007358F" w14:paraId="335C4139" w14:textId="77777777" w:rsidTr="00FF74F5">
        <w:trPr>
          <w:trHeight w:val="345"/>
        </w:trPr>
        <w:tc>
          <w:tcPr>
            <w:tcW w:w="193" w:type="pct"/>
            <w:gridSpan w:val="2"/>
            <w:tcBorders>
              <w:top w:val="outset" w:sz="6" w:space="0" w:color="414142"/>
              <w:left w:val="outset" w:sz="6" w:space="0" w:color="414142"/>
              <w:bottom w:val="outset" w:sz="6" w:space="0" w:color="414142"/>
              <w:right w:val="outset" w:sz="6" w:space="0" w:color="414142"/>
            </w:tcBorders>
            <w:hideMark/>
          </w:tcPr>
          <w:p w14:paraId="335C4136" w14:textId="77777777" w:rsidR="004D15A9" w:rsidRPr="0007358F" w:rsidRDefault="004D15A9" w:rsidP="00DA596D">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4.</w:t>
            </w:r>
          </w:p>
        </w:tc>
        <w:tc>
          <w:tcPr>
            <w:tcW w:w="1595" w:type="pct"/>
            <w:tcBorders>
              <w:top w:val="outset" w:sz="6" w:space="0" w:color="414142"/>
              <w:left w:val="outset" w:sz="6" w:space="0" w:color="414142"/>
              <w:bottom w:val="outset" w:sz="6" w:space="0" w:color="414142"/>
              <w:right w:val="outset" w:sz="6" w:space="0" w:color="414142"/>
            </w:tcBorders>
            <w:hideMark/>
          </w:tcPr>
          <w:p w14:paraId="335C4137" w14:textId="77777777" w:rsidR="004D15A9" w:rsidRPr="0007358F" w:rsidRDefault="004D15A9" w:rsidP="00671A84">
            <w:pPr>
              <w:spacing w:after="0" w:line="240" w:lineRule="auto"/>
              <w:jc w:val="both"/>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Cita informācija</w:t>
            </w:r>
          </w:p>
        </w:tc>
        <w:tc>
          <w:tcPr>
            <w:tcW w:w="3212" w:type="pct"/>
            <w:gridSpan w:val="5"/>
            <w:tcBorders>
              <w:top w:val="outset" w:sz="6" w:space="0" w:color="414142"/>
              <w:left w:val="outset" w:sz="6" w:space="0" w:color="414142"/>
              <w:bottom w:val="outset" w:sz="6" w:space="0" w:color="414142"/>
              <w:right w:val="outset" w:sz="6" w:space="0" w:color="414142"/>
            </w:tcBorders>
            <w:hideMark/>
          </w:tcPr>
          <w:p w14:paraId="335C4138" w14:textId="77777777" w:rsidR="004D15A9" w:rsidRPr="0007358F" w:rsidRDefault="00352D64" w:rsidP="008E79BE">
            <w:pPr>
              <w:spacing w:after="0" w:line="240" w:lineRule="auto"/>
              <w:ind w:firstLine="284"/>
              <w:jc w:val="both"/>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Nav.</w:t>
            </w:r>
          </w:p>
        </w:tc>
      </w:tr>
      <w:tr w:rsidR="00031256" w:rsidRPr="0007358F" w14:paraId="335C413B" w14:textId="77777777" w:rsidTr="007C63DD">
        <w:trPr>
          <w:trHeight w:val="345"/>
        </w:trPr>
        <w:tc>
          <w:tcPr>
            <w:tcW w:w="5000" w:type="pct"/>
            <w:gridSpan w:val="8"/>
            <w:tcBorders>
              <w:top w:val="outset" w:sz="6" w:space="0" w:color="414142"/>
              <w:left w:val="nil"/>
              <w:bottom w:val="nil"/>
              <w:right w:val="nil"/>
            </w:tcBorders>
          </w:tcPr>
          <w:p w14:paraId="335C413A" w14:textId="77777777" w:rsidR="00A25003" w:rsidRPr="0007358F" w:rsidRDefault="00A25003" w:rsidP="00DA596D">
            <w:pPr>
              <w:spacing w:after="0" w:line="240" w:lineRule="auto"/>
              <w:rPr>
                <w:rFonts w:ascii="Times New Roman" w:eastAsia="Times New Roman" w:hAnsi="Times New Roman" w:cs="Times New Roman"/>
                <w:sz w:val="24"/>
                <w:szCs w:val="24"/>
                <w:lang w:eastAsia="lv-LV"/>
              </w:rPr>
            </w:pPr>
          </w:p>
        </w:tc>
      </w:tr>
      <w:tr w:rsidR="007537F6" w:rsidRPr="0007358F" w14:paraId="335C413D" w14:textId="77777777" w:rsidTr="00FF74F5">
        <w:trPr>
          <w:gridBefore w:val="1"/>
          <w:wBefore w:w="7" w:type="pct"/>
          <w:trHeight w:val="360"/>
        </w:trPr>
        <w:tc>
          <w:tcPr>
            <w:tcW w:w="4993" w:type="pct"/>
            <w:gridSpan w:val="7"/>
            <w:tcBorders>
              <w:top w:val="single" w:sz="4" w:space="0" w:color="auto"/>
              <w:left w:val="outset" w:sz="6" w:space="0" w:color="414142"/>
              <w:bottom w:val="outset" w:sz="6" w:space="0" w:color="414142"/>
              <w:right w:val="outset" w:sz="6" w:space="0" w:color="414142"/>
            </w:tcBorders>
            <w:vAlign w:val="center"/>
            <w:hideMark/>
          </w:tcPr>
          <w:p w14:paraId="335C413C" w14:textId="77777777" w:rsidR="007537F6" w:rsidRPr="0007358F" w:rsidRDefault="007537F6" w:rsidP="00CD46AC">
            <w:pPr>
              <w:spacing w:after="0" w:line="240" w:lineRule="auto"/>
              <w:ind w:firstLine="300"/>
              <w:jc w:val="center"/>
              <w:rPr>
                <w:rFonts w:ascii="Times New Roman" w:eastAsia="Times New Roman" w:hAnsi="Times New Roman" w:cs="Times New Roman"/>
                <w:b/>
                <w:bCs/>
                <w:sz w:val="24"/>
                <w:szCs w:val="24"/>
                <w:lang w:eastAsia="lv-LV"/>
              </w:rPr>
            </w:pPr>
            <w:r w:rsidRPr="0007358F">
              <w:rPr>
                <w:rFonts w:ascii="Times New Roman" w:eastAsia="Times New Roman" w:hAnsi="Times New Roman" w:cs="Times New Roman"/>
                <w:b/>
                <w:bCs/>
                <w:sz w:val="24"/>
                <w:szCs w:val="24"/>
                <w:lang w:eastAsia="lv-LV"/>
              </w:rPr>
              <w:t>III. Tiesību akta projekta ietekme uz valsts budžetu un pašvaldību budžetiem</w:t>
            </w:r>
          </w:p>
        </w:tc>
      </w:tr>
      <w:tr w:rsidR="007537F6" w:rsidRPr="0007358F" w14:paraId="335C4141" w14:textId="77777777" w:rsidTr="00FF74F5">
        <w:trPr>
          <w:gridBefore w:val="1"/>
          <w:wBefore w:w="7" w:type="pct"/>
        </w:trPr>
        <w:tc>
          <w:tcPr>
            <w:tcW w:w="1781"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335C413E" w14:textId="77777777" w:rsidR="007537F6" w:rsidRPr="0007358F" w:rsidRDefault="007537F6" w:rsidP="00CD46AC">
            <w:pPr>
              <w:spacing w:after="0" w:line="240" w:lineRule="auto"/>
              <w:ind w:firstLine="300"/>
              <w:jc w:val="center"/>
              <w:rPr>
                <w:rFonts w:ascii="Times New Roman" w:eastAsia="Times New Roman" w:hAnsi="Times New Roman" w:cs="Times New Roman"/>
                <w:b/>
                <w:bCs/>
                <w:sz w:val="24"/>
                <w:szCs w:val="24"/>
                <w:lang w:eastAsia="lv-LV"/>
              </w:rPr>
            </w:pPr>
            <w:r w:rsidRPr="0007358F">
              <w:rPr>
                <w:rFonts w:ascii="Times New Roman" w:eastAsia="Times New Roman" w:hAnsi="Times New Roman" w:cs="Times New Roman"/>
                <w:b/>
                <w:bCs/>
                <w:sz w:val="24"/>
                <w:szCs w:val="24"/>
                <w:lang w:eastAsia="lv-LV"/>
              </w:rPr>
              <w:t>Rādītāji</w:t>
            </w:r>
          </w:p>
        </w:tc>
        <w:tc>
          <w:tcPr>
            <w:tcW w:w="1314"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335C413F" w14:textId="77777777" w:rsidR="007537F6" w:rsidRPr="0007358F" w:rsidRDefault="007537F6" w:rsidP="00CD46AC">
            <w:pPr>
              <w:spacing w:after="0" w:line="240" w:lineRule="auto"/>
              <w:ind w:firstLine="300"/>
              <w:jc w:val="center"/>
              <w:rPr>
                <w:rFonts w:ascii="Times New Roman" w:eastAsia="Times New Roman" w:hAnsi="Times New Roman" w:cs="Times New Roman"/>
                <w:b/>
                <w:bCs/>
                <w:sz w:val="24"/>
                <w:szCs w:val="24"/>
                <w:lang w:eastAsia="lv-LV"/>
              </w:rPr>
            </w:pPr>
            <w:r w:rsidRPr="0007358F">
              <w:rPr>
                <w:rFonts w:ascii="Times New Roman" w:eastAsia="Times New Roman" w:hAnsi="Times New Roman" w:cs="Times New Roman"/>
                <w:b/>
                <w:bCs/>
                <w:sz w:val="24"/>
                <w:szCs w:val="24"/>
                <w:lang w:eastAsia="lv-LV"/>
              </w:rPr>
              <w:t>2016. gads</w:t>
            </w:r>
          </w:p>
        </w:tc>
        <w:tc>
          <w:tcPr>
            <w:tcW w:w="1898" w:type="pct"/>
            <w:gridSpan w:val="3"/>
            <w:tcBorders>
              <w:top w:val="outset" w:sz="6" w:space="0" w:color="414142"/>
              <w:left w:val="outset" w:sz="6" w:space="0" w:color="414142"/>
              <w:bottom w:val="outset" w:sz="6" w:space="0" w:color="414142"/>
              <w:right w:val="outset" w:sz="6" w:space="0" w:color="414142"/>
            </w:tcBorders>
            <w:vAlign w:val="center"/>
            <w:hideMark/>
          </w:tcPr>
          <w:p w14:paraId="335C4140" w14:textId="77777777" w:rsidR="007537F6" w:rsidRPr="0007358F" w:rsidRDefault="007537F6" w:rsidP="00CD46AC">
            <w:pPr>
              <w:spacing w:after="0" w:line="240" w:lineRule="auto"/>
              <w:ind w:firstLine="300"/>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Turpmākie trīs gadi (</w:t>
            </w:r>
            <w:r w:rsidRPr="0007358F">
              <w:rPr>
                <w:rFonts w:ascii="Times New Roman" w:eastAsia="Times New Roman" w:hAnsi="Times New Roman" w:cs="Times New Roman"/>
                <w:i/>
                <w:sz w:val="24"/>
                <w:szCs w:val="24"/>
                <w:lang w:eastAsia="lv-LV"/>
              </w:rPr>
              <w:t>euro</w:t>
            </w:r>
            <w:r w:rsidRPr="0007358F">
              <w:rPr>
                <w:rFonts w:ascii="Times New Roman" w:eastAsia="Times New Roman" w:hAnsi="Times New Roman" w:cs="Times New Roman"/>
                <w:sz w:val="24"/>
                <w:szCs w:val="24"/>
                <w:lang w:eastAsia="lv-LV"/>
              </w:rPr>
              <w:t>)</w:t>
            </w:r>
          </w:p>
        </w:tc>
      </w:tr>
      <w:tr w:rsidR="007537F6" w:rsidRPr="0007358F" w14:paraId="335C4147" w14:textId="77777777" w:rsidTr="00FF74F5">
        <w:trPr>
          <w:gridBefore w:val="1"/>
          <w:wBefore w:w="7" w:type="pct"/>
        </w:trPr>
        <w:tc>
          <w:tcPr>
            <w:tcW w:w="1781" w:type="pct"/>
            <w:gridSpan w:val="2"/>
            <w:vMerge/>
            <w:tcBorders>
              <w:top w:val="outset" w:sz="6" w:space="0" w:color="414142"/>
              <w:left w:val="outset" w:sz="6" w:space="0" w:color="414142"/>
              <w:bottom w:val="outset" w:sz="6" w:space="0" w:color="414142"/>
              <w:right w:val="outset" w:sz="6" w:space="0" w:color="414142"/>
            </w:tcBorders>
            <w:vAlign w:val="center"/>
            <w:hideMark/>
          </w:tcPr>
          <w:p w14:paraId="335C4142" w14:textId="77777777" w:rsidR="007537F6" w:rsidRPr="0007358F" w:rsidRDefault="007537F6" w:rsidP="00CD46AC">
            <w:pPr>
              <w:spacing w:after="0" w:line="240" w:lineRule="auto"/>
              <w:rPr>
                <w:rFonts w:ascii="Times New Roman" w:eastAsia="Times New Roman" w:hAnsi="Times New Roman" w:cs="Times New Roman"/>
                <w:b/>
                <w:bCs/>
                <w:sz w:val="24"/>
                <w:szCs w:val="24"/>
                <w:lang w:eastAsia="lv-LV"/>
              </w:rPr>
            </w:pPr>
          </w:p>
        </w:tc>
        <w:tc>
          <w:tcPr>
            <w:tcW w:w="1314" w:type="pct"/>
            <w:gridSpan w:val="2"/>
            <w:vMerge/>
            <w:tcBorders>
              <w:top w:val="outset" w:sz="6" w:space="0" w:color="414142"/>
              <w:left w:val="outset" w:sz="6" w:space="0" w:color="414142"/>
              <w:bottom w:val="outset" w:sz="6" w:space="0" w:color="414142"/>
              <w:right w:val="outset" w:sz="6" w:space="0" w:color="414142"/>
            </w:tcBorders>
            <w:vAlign w:val="center"/>
            <w:hideMark/>
          </w:tcPr>
          <w:p w14:paraId="335C4143" w14:textId="77777777" w:rsidR="007537F6" w:rsidRPr="0007358F" w:rsidRDefault="007537F6" w:rsidP="00CD46AC">
            <w:pPr>
              <w:spacing w:after="0" w:line="240" w:lineRule="auto"/>
              <w:rPr>
                <w:rFonts w:ascii="Times New Roman" w:eastAsia="Times New Roman" w:hAnsi="Times New Roman" w:cs="Times New Roman"/>
                <w:b/>
                <w:bCs/>
                <w:sz w:val="24"/>
                <w:szCs w:val="24"/>
                <w:lang w:eastAsia="lv-LV"/>
              </w:rPr>
            </w:pPr>
          </w:p>
        </w:tc>
        <w:tc>
          <w:tcPr>
            <w:tcW w:w="690" w:type="pct"/>
            <w:tcBorders>
              <w:top w:val="outset" w:sz="6" w:space="0" w:color="414142"/>
              <w:left w:val="outset" w:sz="6" w:space="0" w:color="414142"/>
              <w:bottom w:val="outset" w:sz="6" w:space="0" w:color="414142"/>
              <w:right w:val="outset" w:sz="6" w:space="0" w:color="414142"/>
            </w:tcBorders>
            <w:vAlign w:val="center"/>
            <w:hideMark/>
          </w:tcPr>
          <w:p w14:paraId="335C4144" w14:textId="77777777" w:rsidR="007537F6" w:rsidRPr="0007358F" w:rsidRDefault="007537F6" w:rsidP="00CD46AC">
            <w:pPr>
              <w:spacing w:after="0" w:line="240" w:lineRule="auto"/>
              <w:ind w:firstLine="300"/>
              <w:jc w:val="center"/>
              <w:rPr>
                <w:rFonts w:ascii="Times New Roman" w:eastAsia="Times New Roman" w:hAnsi="Times New Roman" w:cs="Times New Roman"/>
                <w:b/>
                <w:bCs/>
                <w:sz w:val="24"/>
                <w:szCs w:val="24"/>
                <w:lang w:eastAsia="lv-LV"/>
              </w:rPr>
            </w:pPr>
            <w:r w:rsidRPr="0007358F">
              <w:rPr>
                <w:rFonts w:ascii="Times New Roman" w:eastAsia="Times New Roman" w:hAnsi="Times New Roman" w:cs="Times New Roman"/>
                <w:b/>
                <w:bCs/>
                <w:sz w:val="24"/>
                <w:szCs w:val="24"/>
                <w:lang w:eastAsia="lv-LV"/>
              </w:rPr>
              <w:t>2017.</w:t>
            </w:r>
          </w:p>
        </w:tc>
        <w:tc>
          <w:tcPr>
            <w:tcW w:w="597" w:type="pct"/>
            <w:tcBorders>
              <w:top w:val="outset" w:sz="6" w:space="0" w:color="414142"/>
              <w:left w:val="outset" w:sz="6" w:space="0" w:color="414142"/>
              <w:bottom w:val="outset" w:sz="6" w:space="0" w:color="414142"/>
              <w:right w:val="outset" w:sz="6" w:space="0" w:color="414142"/>
            </w:tcBorders>
            <w:vAlign w:val="center"/>
            <w:hideMark/>
          </w:tcPr>
          <w:p w14:paraId="335C4145" w14:textId="77777777" w:rsidR="007537F6" w:rsidRPr="0007358F" w:rsidRDefault="007537F6" w:rsidP="00CD46AC">
            <w:pPr>
              <w:spacing w:after="0" w:line="240" w:lineRule="auto"/>
              <w:ind w:firstLine="300"/>
              <w:jc w:val="center"/>
              <w:rPr>
                <w:rFonts w:ascii="Times New Roman" w:eastAsia="Times New Roman" w:hAnsi="Times New Roman" w:cs="Times New Roman"/>
                <w:b/>
                <w:bCs/>
                <w:sz w:val="24"/>
                <w:szCs w:val="24"/>
                <w:lang w:eastAsia="lv-LV"/>
              </w:rPr>
            </w:pPr>
            <w:r w:rsidRPr="0007358F">
              <w:rPr>
                <w:rFonts w:ascii="Times New Roman" w:eastAsia="Times New Roman" w:hAnsi="Times New Roman" w:cs="Times New Roman"/>
                <w:b/>
                <w:bCs/>
                <w:sz w:val="24"/>
                <w:szCs w:val="24"/>
                <w:lang w:eastAsia="lv-LV"/>
              </w:rPr>
              <w:t>2018.</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335C4146" w14:textId="77777777" w:rsidR="007537F6" w:rsidRPr="0007358F" w:rsidRDefault="007537F6" w:rsidP="00CD46AC">
            <w:pPr>
              <w:spacing w:after="0" w:line="240" w:lineRule="auto"/>
              <w:ind w:firstLine="300"/>
              <w:jc w:val="center"/>
              <w:rPr>
                <w:rFonts w:ascii="Times New Roman" w:eastAsia="Times New Roman" w:hAnsi="Times New Roman" w:cs="Times New Roman"/>
                <w:b/>
                <w:bCs/>
                <w:sz w:val="24"/>
                <w:szCs w:val="24"/>
                <w:lang w:eastAsia="lv-LV"/>
              </w:rPr>
            </w:pPr>
            <w:r w:rsidRPr="0007358F">
              <w:rPr>
                <w:rFonts w:ascii="Times New Roman" w:eastAsia="Times New Roman" w:hAnsi="Times New Roman" w:cs="Times New Roman"/>
                <w:b/>
                <w:bCs/>
                <w:sz w:val="24"/>
                <w:szCs w:val="24"/>
                <w:lang w:eastAsia="lv-LV"/>
              </w:rPr>
              <w:t>2019.</w:t>
            </w:r>
          </w:p>
        </w:tc>
      </w:tr>
      <w:tr w:rsidR="007537F6" w:rsidRPr="0007358F" w14:paraId="335C414E" w14:textId="77777777" w:rsidTr="00FF74F5">
        <w:trPr>
          <w:gridBefore w:val="1"/>
          <w:wBefore w:w="7" w:type="pct"/>
        </w:trPr>
        <w:tc>
          <w:tcPr>
            <w:tcW w:w="1781" w:type="pct"/>
            <w:gridSpan w:val="2"/>
            <w:vMerge/>
            <w:tcBorders>
              <w:top w:val="outset" w:sz="6" w:space="0" w:color="414142"/>
              <w:left w:val="outset" w:sz="6" w:space="0" w:color="414142"/>
              <w:bottom w:val="outset" w:sz="6" w:space="0" w:color="414142"/>
              <w:right w:val="outset" w:sz="6" w:space="0" w:color="414142"/>
            </w:tcBorders>
            <w:vAlign w:val="center"/>
            <w:hideMark/>
          </w:tcPr>
          <w:p w14:paraId="335C4148" w14:textId="77777777" w:rsidR="007537F6" w:rsidRPr="0007358F" w:rsidRDefault="007537F6" w:rsidP="00CD46AC">
            <w:pPr>
              <w:spacing w:after="0" w:line="240" w:lineRule="auto"/>
              <w:rPr>
                <w:rFonts w:ascii="Times New Roman" w:eastAsia="Times New Roman" w:hAnsi="Times New Roman" w:cs="Times New Roman"/>
                <w:b/>
                <w:bCs/>
                <w:sz w:val="24"/>
                <w:szCs w:val="24"/>
                <w:lang w:eastAsia="lv-LV"/>
              </w:rPr>
            </w:pPr>
          </w:p>
        </w:tc>
        <w:tc>
          <w:tcPr>
            <w:tcW w:w="664" w:type="pct"/>
            <w:tcBorders>
              <w:top w:val="outset" w:sz="6" w:space="0" w:color="414142"/>
              <w:left w:val="outset" w:sz="6" w:space="0" w:color="414142"/>
              <w:bottom w:val="outset" w:sz="6" w:space="0" w:color="414142"/>
              <w:right w:val="outset" w:sz="6" w:space="0" w:color="414142"/>
            </w:tcBorders>
            <w:vAlign w:val="center"/>
            <w:hideMark/>
          </w:tcPr>
          <w:p w14:paraId="335C4149" w14:textId="77777777" w:rsidR="007537F6" w:rsidRPr="0007358F" w:rsidRDefault="007537F6" w:rsidP="00CD46AC">
            <w:pPr>
              <w:spacing w:after="0" w:line="240" w:lineRule="auto"/>
              <w:ind w:firstLine="300"/>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saskaņā ar valsts budžetu kārtējam gadam</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335C414A" w14:textId="77777777" w:rsidR="007537F6" w:rsidRPr="0007358F" w:rsidRDefault="007537F6" w:rsidP="00CD46AC">
            <w:pPr>
              <w:spacing w:after="0" w:line="240" w:lineRule="auto"/>
              <w:ind w:firstLine="300"/>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izmaiņas kārtējā gadā, salīdzinot ar valsts budžetu kārtējam gadam</w:t>
            </w:r>
          </w:p>
        </w:tc>
        <w:tc>
          <w:tcPr>
            <w:tcW w:w="690" w:type="pct"/>
            <w:tcBorders>
              <w:top w:val="outset" w:sz="6" w:space="0" w:color="414142"/>
              <w:left w:val="outset" w:sz="6" w:space="0" w:color="414142"/>
              <w:bottom w:val="outset" w:sz="6" w:space="0" w:color="414142"/>
              <w:right w:val="outset" w:sz="6" w:space="0" w:color="414142"/>
            </w:tcBorders>
            <w:vAlign w:val="center"/>
            <w:hideMark/>
          </w:tcPr>
          <w:p w14:paraId="335C414B" w14:textId="77777777" w:rsidR="007537F6" w:rsidRPr="0007358F" w:rsidRDefault="007537F6" w:rsidP="00CD46AC">
            <w:pPr>
              <w:spacing w:after="0" w:line="240" w:lineRule="auto"/>
              <w:ind w:firstLine="300"/>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izmaiņas, salīdzinot ar kārtējo 2016. gadu</w:t>
            </w:r>
          </w:p>
        </w:tc>
        <w:tc>
          <w:tcPr>
            <w:tcW w:w="597" w:type="pct"/>
            <w:tcBorders>
              <w:top w:val="outset" w:sz="6" w:space="0" w:color="414142"/>
              <w:left w:val="outset" w:sz="6" w:space="0" w:color="414142"/>
              <w:bottom w:val="outset" w:sz="6" w:space="0" w:color="414142"/>
              <w:right w:val="outset" w:sz="6" w:space="0" w:color="414142"/>
            </w:tcBorders>
            <w:vAlign w:val="center"/>
            <w:hideMark/>
          </w:tcPr>
          <w:p w14:paraId="335C414C" w14:textId="77777777" w:rsidR="007537F6" w:rsidRPr="0007358F" w:rsidRDefault="007537F6" w:rsidP="00CD46AC">
            <w:pPr>
              <w:spacing w:after="0" w:line="240" w:lineRule="auto"/>
              <w:ind w:firstLine="300"/>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izmaiņas, salīdzinot ar kārtējo 2016. gadu</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335C414D" w14:textId="77777777" w:rsidR="007537F6" w:rsidRPr="0007358F" w:rsidRDefault="007537F6" w:rsidP="00CD46AC">
            <w:pPr>
              <w:spacing w:after="0" w:line="240" w:lineRule="auto"/>
              <w:ind w:firstLine="300"/>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izmaiņas, salīdzinot ar kārtējo 2016. gadu</w:t>
            </w:r>
          </w:p>
        </w:tc>
      </w:tr>
      <w:tr w:rsidR="007537F6" w:rsidRPr="0007358F" w14:paraId="335C4155" w14:textId="77777777" w:rsidTr="00FF74F5">
        <w:trPr>
          <w:gridBefore w:val="1"/>
          <w:wBefore w:w="7" w:type="pct"/>
        </w:trPr>
        <w:tc>
          <w:tcPr>
            <w:tcW w:w="1781" w:type="pct"/>
            <w:gridSpan w:val="2"/>
            <w:tcBorders>
              <w:top w:val="outset" w:sz="6" w:space="0" w:color="414142"/>
              <w:left w:val="outset" w:sz="6" w:space="0" w:color="414142"/>
              <w:bottom w:val="outset" w:sz="6" w:space="0" w:color="414142"/>
              <w:right w:val="outset" w:sz="6" w:space="0" w:color="414142"/>
            </w:tcBorders>
            <w:vAlign w:val="center"/>
            <w:hideMark/>
          </w:tcPr>
          <w:p w14:paraId="335C414F" w14:textId="77777777" w:rsidR="007537F6" w:rsidRPr="0007358F" w:rsidRDefault="007537F6" w:rsidP="00CD46AC">
            <w:pPr>
              <w:spacing w:after="0" w:line="240" w:lineRule="auto"/>
              <w:ind w:firstLine="300"/>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1</w:t>
            </w:r>
          </w:p>
        </w:tc>
        <w:tc>
          <w:tcPr>
            <w:tcW w:w="664" w:type="pct"/>
            <w:tcBorders>
              <w:top w:val="outset" w:sz="6" w:space="0" w:color="414142"/>
              <w:left w:val="outset" w:sz="6" w:space="0" w:color="414142"/>
              <w:bottom w:val="outset" w:sz="6" w:space="0" w:color="414142"/>
              <w:right w:val="outset" w:sz="6" w:space="0" w:color="414142"/>
            </w:tcBorders>
            <w:vAlign w:val="center"/>
            <w:hideMark/>
          </w:tcPr>
          <w:p w14:paraId="335C4150" w14:textId="77777777"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2</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335C4151" w14:textId="77777777"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3</w:t>
            </w:r>
          </w:p>
        </w:tc>
        <w:tc>
          <w:tcPr>
            <w:tcW w:w="690" w:type="pct"/>
            <w:tcBorders>
              <w:top w:val="outset" w:sz="6" w:space="0" w:color="414142"/>
              <w:left w:val="outset" w:sz="6" w:space="0" w:color="414142"/>
              <w:bottom w:val="outset" w:sz="6" w:space="0" w:color="414142"/>
              <w:right w:val="outset" w:sz="6" w:space="0" w:color="414142"/>
            </w:tcBorders>
            <w:vAlign w:val="center"/>
            <w:hideMark/>
          </w:tcPr>
          <w:p w14:paraId="335C4152" w14:textId="77777777"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4</w:t>
            </w:r>
          </w:p>
        </w:tc>
        <w:tc>
          <w:tcPr>
            <w:tcW w:w="597" w:type="pct"/>
            <w:tcBorders>
              <w:top w:val="outset" w:sz="6" w:space="0" w:color="414142"/>
              <w:left w:val="outset" w:sz="6" w:space="0" w:color="414142"/>
              <w:bottom w:val="outset" w:sz="6" w:space="0" w:color="414142"/>
              <w:right w:val="outset" w:sz="6" w:space="0" w:color="414142"/>
            </w:tcBorders>
            <w:vAlign w:val="center"/>
            <w:hideMark/>
          </w:tcPr>
          <w:p w14:paraId="335C4153" w14:textId="77777777"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5</w:t>
            </w:r>
          </w:p>
        </w:tc>
        <w:tc>
          <w:tcPr>
            <w:tcW w:w="611" w:type="pct"/>
            <w:tcBorders>
              <w:top w:val="outset" w:sz="6" w:space="0" w:color="414142"/>
              <w:left w:val="outset" w:sz="6" w:space="0" w:color="414142"/>
              <w:bottom w:val="outset" w:sz="6" w:space="0" w:color="414142"/>
              <w:right w:val="outset" w:sz="6" w:space="0" w:color="414142"/>
            </w:tcBorders>
            <w:vAlign w:val="center"/>
            <w:hideMark/>
          </w:tcPr>
          <w:p w14:paraId="335C4154" w14:textId="77777777"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6</w:t>
            </w:r>
          </w:p>
        </w:tc>
      </w:tr>
      <w:tr w:rsidR="007537F6" w:rsidRPr="0007358F" w14:paraId="335C415C" w14:textId="77777777" w:rsidTr="00FF74F5">
        <w:trPr>
          <w:gridBefore w:val="1"/>
          <w:wBefore w:w="7" w:type="pct"/>
        </w:trPr>
        <w:tc>
          <w:tcPr>
            <w:tcW w:w="1781" w:type="pct"/>
            <w:gridSpan w:val="2"/>
            <w:tcBorders>
              <w:top w:val="outset" w:sz="6" w:space="0" w:color="414142"/>
              <w:left w:val="outset" w:sz="6" w:space="0" w:color="414142"/>
              <w:bottom w:val="outset" w:sz="6" w:space="0" w:color="414142"/>
              <w:right w:val="outset" w:sz="6" w:space="0" w:color="414142"/>
            </w:tcBorders>
            <w:hideMark/>
          </w:tcPr>
          <w:p w14:paraId="335C4156" w14:textId="77777777" w:rsidR="007537F6" w:rsidRPr="0007358F" w:rsidRDefault="007537F6"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1. Budžeta ieņēmumi:</w:t>
            </w:r>
          </w:p>
        </w:tc>
        <w:tc>
          <w:tcPr>
            <w:tcW w:w="664" w:type="pct"/>
            <w:tcBorders>
              <w:top w:val="outset" w:sz="6" w:space="0" w:color="414142"/>
              <w:left w:val="outset" w:sz="6" w:space="0" w:color="414142"/>
              <w:bottom w:val="outset" w:sz="6" w:space="0" w:color="414142"/>
              <w:right w:val="outset" w:sz="6" w:space="0" w:color="414142"/>
            </w:tcBorders>
            <w:hideMark/>
          </w:tcPr>
          <w:p w14:paraId="335C4157" w14:textId="0D01C827" w:rsidR="007537F6" w:rsidRPr="0007358F" w:rsidRDefault="00602137" w:rsidP="00CD46A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3 470 589</w:t>
            </w:r>
          </w:p>
        </w:tc>
        <w:tc>
          <w:tcPr>
            <w:tcW w:w="650" w:type="pct"/>
            <w:tcBorders>
              <w:top w:val="outset" w:sz="6" w:space="0" w:color="414142"/>
              <w:left w:val="outset" w:sz="6" w:space="0" w:color="414142"/>
              <w:bottom w:val="outset" w:sz="6" w:space="0" w:color="414142"/>
              <w:right w:val="outset" w:sz="6" w:space="0" w:color="414142"/>
            </w:tcBorders>
            <w:hideMark/>
          </w:tcPr>
          <w:p w14:paraId="335C4158" w14:textId="77777777"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0</w:t>
            </w:r>
          </w:p>
        </w:tc>
        <w:tc>
          <w:tcPr>
            <w:tcW w:w="690" w:type="pct"/>
            <w:tcBorders>
              <w:top w:val="outset" w:sz="6" w:space="0" w:color="414142"/>
              <w:left w:val="outset" w:sz="6" w:space="0" w:color="414142"/>
              <w:bottom w:val="outset" w:sz="6" w:space="0" w:color="414142"/>
              <w:right w:val="outset" w:sz="6" w:space="0" w:color="414142"/>
            </w:tcBorders>
            <w:hideMark/>
          </w:tcPr>
          <w:p w14:paraId="335C4159" w14:textId="55E05840" w:rsidR="007537F6" w:rsidRPr="0007358F" w:rsidRDefault="000D2578" w:rsidP="00CD46A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780</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000</w:t>
            </w:r>
          </w:p>
        </w:tc>
        <w:tc>
          <w:tcPr>
            <w:tcW w:w="597" w:type="pct"/>
            <w:tcBorders>
              <w:top w:val="outset" w:sz="6" w:space="0" w:color="414142"/>
              <w:left w:val="outset" w:sz="6" w:space="0" w:color="414142"/>
              <w:bottom w:val="outset" w:sz="6" w:space="0" w:color="414142"/>
              <w:right w:val="outset" w:sz="6" w:space="0" w:color="414142"/>
            </w:tcBorders>
            <w:hideMark/>
          </w:tcPr>
          <w:p w14:paraId="335C415A" w14:textId="1AA67827" w:rsidR="007537F6" w:rsidRPr="0007358F" w:rsidRDefault="000D2578" w:rsidP="00CD46A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780</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000</w:t>
            </w:r>
          </w:p>
        </w:tc>
        <w:tc>
          <w:tcPr>
            <w:tcW w:w="611" w:type="pct"/>
            <w:tcBorders>
              <w:top w:val="outset" w:sz="6" w:space="0" w:color="414142"/>
              <w:left w:val="outset" w:sz="6" w:space="0" w:color="414142"/>
              <w:bottom w:val="outset" w:sz="6" w:space="0" w:color="414142"/>
              <w:right w:val="outset" w:sz="6" w:space="0" w:color="414142"/>
            </w:tcBorders>
            <w:hideMark/>
          </w:tcPr>
          <w:p w14:paraId="335C415B" w14:textId="7F5C2F07" w:rsidR="007537F6" w:rsidRPr="0007358F" w:rsidRDefault="000D2578" w:rsidP="00CD46A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780</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000</w:t>
            </w:r>
          </w:p>
        </w:tc>
      </w:tr>
      <w:tr w:rsidR="007537F6" w:rsidRPr="0007358F" w14:paraId="335C4163" w14:textId="77777777" w:rsidTr="00FF74F5">
        <w:trPr>
          <w:gridBefore w:val="1"/>
          <w:wBefore w:w="7" w:type="pct"/>
        </w:trPr>
        <w:tc>
          <w:tcPr>
            <w:tcW w:w="1781" w:type="pct"/>
            <w:gridSpan w:val="2"/>
            <w:tcBorders>
              <w:top w:val="outset" w:sz="6" w:space="0" w:color="414142"/>
              <w:left w:val="outset" w:sz="6" w:space="0" w:color="414142"/>
              <w:bottom w:val="outset" w:sz="6" w:space="0" w:color="414142"/>
              <w:right w:val="outset" w:sz="6" w:space="0" w:color="414142"/>
            </w:tcBorders>
            <w:hideMark/>
          </w:tcPr>
          <w:p w14:paraId="335C415D" w14:textId="77777777" w:rsidR="007537F6" w:rsidRPr="0007358F" w:rsidRDefault="007537F6"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1.1. valsts pamatbudžets, tai skaitā ieņēmumi no maksas pakalpojumiem un citi pašu ieņēmumi</w:t>
            </w:r>
          </w:p>
        </w:tc>
        <w:tc>
          <w:tcPr>
            <w:tcW w:w="664" w:type="pct"/>
            <w:tcBorders>
              <w:top w:val="outset" w:sz="6" w:space="0" w:color="414142"/>
              <w:left w:val="outset" w:sz="6" w:space="0" w:color="414142"/>
              <w:bottom w:val="outset" w:sz="6" w:space="0" w:color="414142"/>
              <w:right w:val="outset" w:sz="6" w:space="0" w:color="414142"/>
            </w:tcBorders>
            <w:hideMark/>
          </w:tcPr>
          <w:p w14:paraId="335C415E" w14:textId="7FE17DB1" w:rsidR="007537F6" w:rsidRPr="0007358F" w:rsidRDefault="00602137" w:rsidP="006021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3 470 589</w:t>
            </w:r>
          </w:p>
        </w:tc>
        <w:tc>
          <w:tcPr>
            <w:tcW w:w="650" w:type="pct"/>
            <w:tcBorders>
              <w:top w:val="outset" w:sz="6" w:space="0" w:color="414142"/>
              <w:left w:val="outset" w:sz="6" w:space="0" w:color="414142"/>
              <w:bottom w:val="outset" w:sz="6" w:space="0" w:color="414142"/>
              <w:right w:val="outset" w:sz="6" w:space="0" w:color="414142"/>
            </w:tcBorders>
            <w:hideMark/>
          </w:tcPr>
          <w:p w14:paraId="335C415F" w14:textId="77777777"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0</w:t>
            </w:r>
          </w:p>
        </w:tc>
        <w:tc>
          <w:tcPr>
            <w:tcW w:w="690" w:type="pct"/>
            <w:tcBorders>
              <w:top w:val="outset" w:sz="6" w:space="0" w:color="414142"/>
              <w:left w:val="outset" w:sz="6" w:space="0" w:color="414142"/>
              <w:bottom w:val="outset" w:sz="6" w:space="0" w:color="414142"/>
              <w:right w:val="outset" w:sz="6" w:space="0" w:color="414142"/>
            </w:tcBorders>
            <w:hideMark/>
          </w:tcPr>
          <w:p w14:paraId="335C4160" w14:textId="0E852EF6" w:rsidR="007537F6" w:rsidRPr="0007358F" w:rsidRDefault="000D2578" w:rsidP="00CD46A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780</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000</w:t>
            </w:r>
          </w:p>
        </w:tc>
        <w:tc>
          <w:tcPr>
            <w:tcW w:w="597" w:type="pct"/>
            <w:tcBorders>
              <w:top w:val="outset" w:sz="6" w:space="0" w:color="414142"/>
              <w:left w:val="outset" w:sz="6" w:space="0" w:color="414142"/>
              <w:bottom w:val="outset" w:sz="6" w:space="0" w:color="414142"/>
              <w:right w:val="outset" w:sz="6" w:space="0" w:color="414142"/>
            </w:tcBorders>
            <w:hideMark/>
          </w:tcPr>
          <w:p w14:paraId="335C4161" w14:textId="266739F5" w:rsidR="007537F6" w:rsidRPr="0007358F" w:rsidRDefault="000D2578" w:rsidP="00CD46A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780</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000</w:t>
            </w:r>
          </w:p>
        </w:tc>
        <w:tc>
          <w:tcPr>
            <w:tcW w:w="611" w:type="pct"/>
            <w:tcBorders>
              <w:top w:val="outset" w:sz="6" w:space="0" w:color="414142"/>
              <w:left w:val="outset" w:sz="6" w:space="0" w:color="414142"/>
              <w:bottom w:val="outset" w:sz="6" w:space="0" w:color="414142"/>
              <w:right w:val="outset" w:sz="6" w:space="0" w:color="414142"/>
            </w:tcBorders>
            <w:hideMark/>
          </w:tcPr>
          <w:p w14:paraId="335C4162" w14:textId="61273462" w:rsidR="007537F6" w:rsidRPr="0007358F" w:rsidRDefault="000D2578" w:rsidP="00CD46A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780</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000</w:t>
            </w:r>
          </w:p>
        </w:tc>
      </w:tr>
      <w:tr w:rsidR="00C8728A" w:rsidRPr="0007358F" w14:paraId="4E17743E" w14:textId="77777777" w:rsidTr="000D2578">
        <w:trPr>
          <w:gridBefore w:val="1"/>
          <w:wBefore w:w="7" w:type="pct"/>
        </w:trPr>
        <w:tc>
          <w:tcPr>
            <w:tcW w:w="1781" w:type="pct"/>
            <w:gridSpan w:val="2"/>
            <w:tcBorders>
              <w:top w:val="outset" w:sz="6" w:space="0" w:color="414142"/>
              <w:left w:val="outset" w:sz="6" w:space="0" w:color="414142"/>
              <w:bottom w:val="outset" w:sz="6" w:space="0" w:color="414142"/>
              <w:right w:val="outset" w:sz="6" w:space="0" w:color="414142"/>
            </w:tcBorders>
          </w:tcPr>
          <w:p w14:paraId="5D50F613" w14:textId="4C1F067E" w:rsidR="00C8728A" w:rsidRPr="0007358F" w:rsidRDefault="00C8728A" w:rsidP="00CD46AC">
            <w:pPr>
              <w:spacing w:after="0" w:line="240" w:lineRule="auto"/>
              <w:rPr>
                <w:rFonts w:ascii="Times New Roman" w:eastAsia="Times New Roman" w:hAnsi="Times New Roman" w:cs="Times New Roman"/>
                <w:sz w:val="24"/>
                <w:szCs w:val="24"/>
                <w:lang w:eastAsia="lv-LV"/>
              </w:rPr>
            </w:pPr>
            <w:r w:rsidRPr="003575A6">
              <w:rPr>
                <w:rFonts w:ascii="Times New Roman" w:eastAsia="Times New Roman" w:hAnsi="Times New Roman" w:cs="Times New Roman"/>
                <w:i/>
                <w:sz w:val="24"/>
                <w:szCs w:val="24"/>
              </w:rPr>
              <w:t>t.sk. pievienotās vērtības nodoklis</w:t>
            </w:r>
          </w:p>
        </w:tc>
        <w:tc>
          <w:tcPr>
            <w:tcW w:w="664" w:type="pct"/>
            <w:tcBorders>
              <w:top w:val="outset" w:sz="6" w:space="0" w:color="414142"/>
              <w:left w:val="outset" w:sz="6" w:space="0" w:color="414142"/>
              <w:bottom w:val="outset" w:sz="6" w:space="0" w:color="414142"/>
              <w:right w:val="outset" w:sz="6" w:space="0" w:color="414142"/>
            </w:tcBorders>
          </w:tcPr>
          <w:p w14:paraId="05FD0EDF" w14:textId="77777777" w:rsidR="00C8728A" w:rsidRDefault="00C8728A" w:rsidP="00602137">
            <w:pPr>
              <w:spacing w:after="0" w:line="240" w:lineRule="auto"/>
              <w:jc w:val="center"/>
              <w:rPr>
                <w:rFonts w:ascii="Times New Roman" w:eastAsia="Times New Roman" w:hAnsi="Times New Roman" w:cs="Times New Roman"/>
                <w:sz w:val="24"/>
                <w:szCs w:val="24"/>
                <w:lang w:eastAsia="lv-LV"/>
              </w:rPr>
            </w:pPr>
          </w:p>
        </w:tc>
        <w:tc>
          <w:tcPr>
            <w:tcW w:w="650" w:type="pct"/>
            <w:tcBorders>
              <w:top w:val="outset" w:sz="6" w:space="0" w:color="414142"/>
              <w:left w:val="outset" w:sz="6" w:space="0" w:color="414142"/>
              <w:bottom w:val="outset" w:sz="6" w:space="0" w:color="414142"/>
              <w:right w:val="outset" w:sz="6" w:space="0" w:color="414142"/>
            </w:tcBorders>
          </w:tcPr>
          <w:p w14:paraId="58303DED" w14:textId="77777777" w:rsidR="00C8728A" w:rsidRPr="0007358F" w:rsidRDefault="00C8728A" w:rsidP="00CD46AC">
            <w:pPr>
              <w:spacing w:after="0" w:line="240" w:lineRule="auto"/>
              <w:jc w:val="center"/>
              <w:rPr>
                <w:rFonts w:ascii="Times New Roman" w:eastAsia="Times New Roman" w:hAnsi="Times New Roman" w:cs="Times New Roman"/>
                <w:sz w:val="24"/>
                <w:szCs w:val="24"/>
                <w:lang w:eastAsia="lv-LV"/>
              </w:rPr>
            </w:pPr>
          </w:p>
        </w:tc>
        <w:tc>
          <w:tcPr>
            <w:tcW w:w="690" w:type="pct"/>
            <w:tcBorders>
              <w:top w:val="outset" w:sz="6" w:space="0" w:color="414142"/>
              <w:left w:val="outset" w:sz="6" w:space="0" w:color="414142"/>
              <w:bottom w:val="outset" w:sz="6" w:space="0" w:color="414142"/>
              <w:right w:val="outset" w:sz="6" w:space="0" w:color="414142"/>
            </w:tcBorders>
          </w:tcPr>
          <w:p w14:paraId="4DC4A0C9" w14:textId="3AF96559" w:rsidR="00C8728A" w:rsidRDefault="00C8728A" w:rsidP="00CD46A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3 780 000</w:t>
            </w:r>
          </w:p>
        </w:tc>
        <w:tc>
          <w:tcPr>
            <w:tcW w:w="597" w:type="pct"/>
            <w:tcBorders>
              <w:top w:val="outset" w:sz="6" w:space="0" w:color="414142"/>
              <w:left w:val="outset" w:sz="6" w:space="0" w:color="414142"/>
              <w:bottom w:val="outset" w:sz="6" w:space="0" w:color="414142"/>
              <w:right w:val="outset" w:sz="6" w:space="0" w:color="414142"/>
            </w:tcBorders>
          </w:tcPr>
          <w:p w14:paraId="0B592A3F" w14:textId="1E26B186" w:rsidR="00C8728A" w:rsidRDefault="00C8728A" w:rsidP="00CD46A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3 780 000</w:t>
            </w:r>
          </w:p>
        </w:tc>
        <w:tc>
          <w:tcPr>
            <w:tcW w:w="611" w:type="pct"/>
            <w:tcBorders>
              <w:top w:val="outset" w:sz="6" w:space="0" w:color="414142"/>
              <w:left w:val="outset" w:sz="6" w:space="0" w:color="414142"/>
              <w:bottom w:val="outset" w:sz="6" w:space="0" w:color="414142"/>
              <w:right w:val="outset" w:sz="6" w:space="0" w:color="414142"/>
            </w:tcBorders>
          </w:tcPr>
          <w:p w14:paraId="76B66396" w14:textId="1FCAB06E" w:rsidR="00C8728A" w:rsidRDefault="00C8728A" w:rsidP="00CD46A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3 780 000</w:t>
            </w:r>
          </w:p>
        </w:tc>
      </w:tr>
      <w:tr w:rsidR="007537F6" w:rsidRPr="0007358F" w14:paraId="335C416A" w14:textId="77777777" w:rsidTr="00FF74F5">
        <w:trPr>
          <w:gridBefore w:val="1"/>
          <w:wBefore w:w="7" w:type="pct"/>
        </w:trPr>
        <w:tc>
          <w:tcPr>
            <w:tcW w:w="1781" w:type="pct"/>
            <w:gridSpan w:val="2"/>
            <w:tcBorders>
              <w:top w:val="outset" w:sz="6" w:space="0" w:color="414142"/>
              <w:left w:val="outset" w:sz="6" w:space="0" w:color="414142"/>
              <w:bottom w:val="outset" w:sz="6" w:space="0" w:color="414142"/>
              <w:right w:val="outset" w:sz="6" w:space="0" w:color="414142"/>
            </w:tcBorders>
            <w:hideMark/>
          </w:tcPr>
          <w:p w14:paraId="335C4164" w14:textId="77777777" w:rsidR="007537F6" w:rsidRPr="0007358F" w:rsidRDefault="007537F6"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1.2. valsts speciālais budžets</w:t>
            </w:r>
          </w:p>
        </w:tc>
        <w:tc>
          <w:tcPr>
            <w:tcW w:w="664" w:type="pct"/>
            <w:tcBorders>
              <w:top w:val="outset" w:sz="6" w:space="0" w:color="414142"/>
              <w:left w:val="outset" w:sz="6" w:space="0" w:color="414142"/>
              <w:bottom w:val="outset" w:sz="6" w:space="0" w:color="414142"/>
              <w:right w:val="outset" w:sz="6" w:space="0" w:color="414142"/>
            </w:tcBorders>
            <w:hideMark/>
          </w:tcPr>
          <w:p w14:paraId="335C4165" w14:textId="77777777"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p>
        </w:tc>
        <w:tc>
          <w:tcPr>
            <w:tcW w:w="650" w:type="pct"/>
            <w:tcBorders>
              <w:top w:val="outset" w:sz="6" w:space="0" w:color="414142"/>
              <w:left w:val="outset" w:sz="6" w:space="0" w:color="414142"/>
              <w:bottom w:val="outset" w:sz="6" w:space="0" w:color="414142"/>
              <w:right w:val="outset" w:sz="6" w:space="0" w:color="414142"/>
            </w:tcBorders>
            <w:hideMark/>
          </w:tcPr>
          <w:p w14:paraId="335C4166" w14:textId="77777777"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p>
        </w:tc>
        <w:tc>
          <w:tcPr>
            <w:tcW w:w="690" w:type="pct"/>
            <w:tcBorders>
              <w:top w:val="outset" w:sz="6" w:space="0" w:color="414142"/>
              <w:left w:val="outset" w:sz="6" w:space="0" w:color="414142"/>
              <w:bottom w:val="outset" w:sz="6" w:space="0" w:color="414142"/>
              <w:right w:val="outset" w:sz="6" w:space="0" w:color="414142"/>
            </w:tcBorders>
            <w:hideMark/>
          </w:tcPr>
          <w:p w14:paraId="335C4167" w14:textId="77777777"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p>
        </w:tc>
        <w:tc>
          <w:tcPr>
            <w:tcW w:w="597" w:type="pct"/>
            <w:tcBorders>
              <w:top w:val="outset" w:sz="6" w:space="0" w:color="414142"/>
              <w:left w:val="outset" w:sz="6" w:space="0" w:color="414142"/>
              <w:bottom w:val="outset" w:sz="6" w:space="0" w:color="414142"/>
              <w:right w:val="outset" w:sz="6" w:space="0" w:color="414142"/>
            </w:tcBorders>
            <w:hideMark/>
          </w:tcPr>
          <w:p w14:paraId="335C4168" w14:textId="77777777"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p>
        </w:tc>
        <w:tc>
          <w:tcPr>
            <w:tcW w:w="611" w:type="pct"/>
            <w:tcBorders>
              <w:top w:val="outset" w:sz="6" w:space="0" w:color="414142"/>
              <w:left w:val="outset" w:sz="6" w:space="0" w:color="414142"/>
              <w:bottom w:val="outset" w:sz="6" w:space="0" w:color="414142"/>
              <w:right w:val="outset" w:sz="6" w:space="0" w:color="414142"/>
            </w:tcBorders>
            <w:hideMark/>
          </w:tcPr>
          <w:p w14:paraId="335C4169" w14:textId="77777777"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p>
        </w:tc>
      </w:tr>
      <w:tr w:rsidR="007537F6" w:rsidRPr="0007358F" w14:paraId="335C4171" w14:textId="77777777" w:rsidTr="00FF74F5">
        <w:trPr>
          <w:gridBefore w:val="1"/>
          <w:wBefore w:w="7" w:type="pct"/>
        </w:trPr>
        <w:tc>
          <w:tcPr>
            <w:tcW w:w="1781" w:type="pct"/>
            <w:gridSpan w:val="2"/>
            <w:tcBorders>
              <w:top w:val="outset" w:sz="6" w:space="0" w:color="414142"/>
              <w:left w:val="outset" w:sz="6" w:space="0" w:color="414142"/>
              <w:bottom w:val="outset" w:sz="6" w:space="0" w:color="414142"/>
              <w:right w:val="outset" w:sz="6" w:space="0" w:color="414142"/>
            </w:tcBorders>
            <w:hideMark/>
          </w:tcPr>
          <w:p w14:paraId="335C416B" w14:textId="77777777" w:rsidR="007537F6" w:rsidRPr="0007358F" w:rsidRDefault="007537F6"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1.3. pašvaldību budžets</w:t>
            </w:r>
          </w:p>
        </w:tc>
        <w:tc>
          <w:tcPr>
            <w:tcW w:w="664" w:type="pct"/>
            <w:tcBorders>
              <w:top w:val="outset" w:sz="6" w:space="0" w:color="414142"/>
              <w:left w:val="outset" w:sz="6" w:space="0" w:color="414142"/>
              <w:bottom w:val="outset" w:sz="6" w:space="0" w:color="414142"/>
              <w:right w:val="outset" w:sz="6" w:space="0" w:color="414142"/>
            </w:tcBorders>
            <w:hideMark/>
          </w:tcPr>
          <w:p w14:paraId="335C416C" w14:textId="77777777"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p>
        </w:tc>
        <w:tc>
          <w:tcPr>
            <w:tcW w:w="650" w:type="pct"/>
            <w:tcBorders>
              <w:top w:val="outset" w:sz="6" w:space="0" w:color="414142"/>
              <w:left w:val="outset" w:sz="6" w:space="0" w:color="414142"/>
              <w:bottom w:val="outset" w:sz="6" w:space="0" w:color="414142"/>
              <w:right w:val="outset" w:sz="6" w:space="0" w:color="414142"/>
            </w:tcBorders>
            <w:hideMark/>
          </w:tcPr>
          <w:p w14:paraId="335C416D" w14:textId="77777777"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p>
        </w:tc>
        <w:tc>
          <w:tcPr>
            <w:tcW w:w="690" w:type="pct"/>
            <w:tcBorders>
              <w:top w:val="outset" w:sz="6" w:space="0" w:color="414142"/>
              <w:left w:val="outset" w:sz="6" w:space="0" w:color="414142"/>
              <w:bottom w:val="outset" w:sz="6" w:space="0" w:color="414142"/>
              <w:right w:val="outset" w:sz="6" w:space="0" w:color="414142"/>
            </w:tcBorders>
            <w:hideMark/>
          </w:tcPr>
          <w:p w14:paraId="335C416E" w14:textId="77777777"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p>
        </w:tc>
        <w:tc>
          <w:tcPr>
            <w:tcW w:w="597" w:type="pct"/>
            <w:tcBorders>
              <w:top w:val="outset" w:sz="6" w:space="0" w:color="414142"/>
              <w:left w:val="outset" w:sz="6" w:space="0" w:color="414142"/>
              <w:bottom w:val="outset" w:sz="6" w:space="0" w:color="414142"/>
              <w:right w:val="outset" w:sz="6" w:space="0" w:color="414142"/>
            </w:tcBorders>
            <w:hideMark/>
          </w:tcPr>
          <w:p w14:paraId="335C416F" w14:textId="77777777"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p>
        </w:tc>
        <w:tc>
          <w:tcPr>
            <w:tcW w:w="611" w:type="pct"/>
            <w:tcBorders>
              <w:top w:val="outset" w:sz="6" w:space="0" w:color="414142"/>
              <w:left w:val="outset" w:sz="6" w:space="0" w:color="414142"/>
              <w:bottom w:val="outset" w:sz="6" w:space="0" w:color="414142"/>
              <w:right w:val="outset" w:sz="6" w:space="0" w:color="414142"/>
            </w:tcBorders>
            <w:hideMark/>
          </w:tcPr>
          <w:p w14:paraId="335C4170" w14:textId="77777777"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p>
        </w:tc>
      </w:tr>
      <w:tr w:rsidR="007537F6" w:rsidRPr="0007358F" w14:paraId="335C4178" w14:textId="77777777" w:rsidTr="00FF74F5">
        <w:trPr>
          <w:gridBefore w:val="1"/>
          <w:wBefore w:w="7" w:type="pct"/>
        </w:trPr>
        <w:tc>
          <w:tcPr>
            <w:tcW w:w="1781" w:type="pct"/>
            <w:gridSpan w:val="2"/>
            <w:tcBorders>
              <w:top w:val="outset" w:sz="6" w:space="0" w:color="414142"/>
              <w:left w:val="outset" w:sz="6" w:space="0" w:color="414142"/>
              <w:bottom w:val="outset" w:sz="6" w:space="0" w:color="414142"/>
              <w:right w:val="outset" w:sz="6" w:space="0" w:color="414142"/>
            </w:tcBorders>
            <w:hideMark/>
          </w:tcPr>
          <w:p w14:paraId="335C4172" w14:textId="77777777" w:rsidR="007537F6" w:rsidRPr="0007358F" w:rsidRDefault="007537F6"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2. Budžeta izdevumi:</w:t>
            </w:r>
          </w:p>
        </w:tc>
        <w:tc>
          <w:tcPr>
            <w:tcW w:w="664" w:type="pct"/>
            <w:tcBorders>
              <w:top w:val="outset" w:sz="6" w:space="0" w:color="414142"/>
              <w:left w:val="outset" w:sz="6" w:space="0" w:color="414142"/>
              <w:bottom w:val="outset" w:sz="6" w:space="0" w:color="414142"/>
              <w:right w:val="outset" w:sz="6" w:space="0" w:color="414142"/>
            </w:tcBorders>
            <w:hideMark/>
          </w:tcPr>
          <w:p w14:paraId="335C4173" w14:textId="4F2CB784" w:rsidR="007537F6" w:rsidRPr="0007358F" w:rsidRDefault="00602137" w:rsidP="00CD46A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3 616 589</w:t>
            </w:r>
          </w:p>
        </w:tc>
        <w:tc>
          <w:tcPr>
            <w:tcW w:w="650" w:type="pct"/>
            <w:tcBorders>
              <w:top w:val="outset" w:sz="6" w:space="0" w:color="414142"/>
              <w:left w:val="outset" w:sz="6" w:space="0" w:color="414142"/>
              <w:bottom w:val="outset" w:sz="6" w:space="0" w:color="414142"/>
              <w:right w:val="outset" w:sz="6" w:space="0" w:color="414142"/>
            </w:tcBorders>
            <w:hideMark/>
          </w:tcPr>
          <w:p w14:paraId="335C4174" w14:textId="77777777"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0</w:t>
            </w:r>
          </w:p>
        </w:tc>
        <w:tc>
          <w:tcPr>
            <w:tcW w:w="690" w:type="pct"/>
            <w:tcBorders>
              <w:top w:val="outset" w:sz="6" w:space="0" w:color="414142"/>
              <w:left w:val="outset" w:sz="6" w:space="0" w:color="414142"/>
              <w:bottom w:val="outset" w:sz="6" w:space="0" w:color="414142"/>
              <w:right w:val="outset" w:sz="6" w:space="0" w:color="414142"/>
            </w:tcBorders>
            <w:hideMark/>
          </w:tcPr>
          <w:p w14:paraId="335C4175" w14:textId="282985E4"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76</w:t>
            </w:r>
            <w:r w:rsidR="001219AD">
              <w:rPr>
                <w:rFonts w:ascii="Times New Roman" w:eastAsia="Times New Roman" w:hAnsi="Times New Roman" w:cs="Times New Roman"/>
                <w:sz w:val="24"/>
                <w:szCs w:val="24"/>
                <w:lang w:eastAsia="lv-LV"/>
              </w:rPr>
              <w:t xml:space="preserve"> </w:t>
            </w:r>
            <w:r w:rsidRPr="0007358F">
              <w:rPr>
                <w:rFonts w:ascii="Times New Roman" w:eastAsia="Times New Roman" w:hAnsi="Times New Roman" w:cs="Times New Roman"/>
                <w:sz w:val="24"/>
                <w:szCs w:val="24"/>
                <w:lang w:eastAsia="lv-LV"/>
              </w:rPr>
              <w:t>595</w:t>
            </w:r>
          </w:p>
        </w:tc>
        <w:tc>
          <w:tcPr>
            <w:tcW w:w="597" w:type="pct"/>
            <w:tcBorders>
              <w:top w:val="outset" w:sz="6" w:space="0" w:color="414142"/>
              <w:left w:val="outset" w:sz="6" w:space="0" w:color="414142"/>
              <w:bottom w:val="outset" w:sz="6" w:space="0" w:color="414142"/>
              <w:right w:val="outset" w:sz="6" w:space="0" w:color="414142"/>
            </w:tcBorders>
          </w:tcPr>
          <w:p w14:paraId="335C4176" w14:textId="6C34351C" w:rsidR="007537F6" w:rsidRPr="0007358F" w:rsidRDefault="00891FE1" w:rsidP="00CD46A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76 595</w:t>
            </w:r>
          </w:p>
        </w:tc>
        <w:tc>
          <w:tcPr>
            <w:tcW w:w="611" w:type="pct"/>
            <w:tcBorders>
              <w:top w:val="outset" w:sz="6" w:space="0" w:color="414142"/>
              <w:left w:val="outset" w:sz="6" w:space="0" w:color="414142"/>
              <w:bottom w:val="outset" w:sz="6" w:space="0" w:color="414142"/>
              <w:right w:val="outset" w:sz="6" w:space="0" w:color="414142"/>
            </w:tcBorders>
          </w:tcPr>
          <w:p w14:paraId="335C4177" w14:textId="3FFF28B2" w:rsidR="007537F6" w:rsidRPr="0007358F" w:rsidRDefault="00891FE1" w:rsidP="00CD46A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76 595</w:t>
            </w:r>
          </w:p>
        </w:tc>
      </w:tr>
      <w:tr w:rsidR="007537F6" w:rsidRPr="0007358F" w14:paraId="335C417F" w14:textId="77777777" w:rsidTr="00FF74F5">
        <w:trPr>
          <w:gridBefore w:val="1"/>
          <w:wBefore w:w="7" w:type="pct"/>
        </w:trPr>
        <w:tc>
          <w:tcPr>
            <w:tcW w:w="1781" w:type="pct"/>
            <w:gridSpan w:val="2"/>
            <w:tcBorders>
              <w:top w:val="outset" w:sz="6" w:space="0" w:color="414142"/>
              <w:left w:val="outset" w:sz="6" w:space="0" w:color="414142"/>
              <w:bottom w:val="outset" w:sz="6" w:space="0" w:color="414142"/>
              <w:right w:val="outset" w:sz="6" w:space="0" w:color="414142"/>
            </w:tcBorders>
            <w:hideMark/>
          </w:tcPr>
          <w:p w14:paraId="335C4179" w14:textId="77777777" w:rsidR="007537F6" w:rsidRPr="0007358F" w:rsidRDefault="007537F6"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2.1. valsts pamatbudžets</w:t>
            </w:r>
          </w:p>
        </w:tc>
        <w:tc>
          <w:tcPr>
            <w:tcW w:w="664" w:type="pct"/>
            <w:tcBorders>
              <w:top w:val="outset" w:sz="6" w:space="0" w:color="414142"/>
              <w:left w:val="outset" w:sz="6" w:space="0" w:color="414142"/>
              <w:bottom w:val="outset" w:sz="6" w:space="0" w:color="414142"/>
              <w:right w:val="outset" w:sz="6" w:space="0" w:color="414142"/>
            </w:tcBorders>
            <w:hideMark/>
          </w:tcPr>
          <w:p w14:paraId="335C417A" w14:textId="1515C4E2" w:rsidR="007537F6" w:rsidRPr="0007358F" w:rsidRDefault="00602137" w:rsidP="00CD46A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3 616 589</w:t>
            </w:r>
          </w:p>
        </w:tc>
        <w:tc>
          <w:tcPr>
            <w:tcW w:w="650" w:type="pct"/>
            <w:tcBorders>
              <w:top w:val="outset" w:sz="6" w:space="0" w:color="414142"/>
              <w:left w:val="outset" w:sz="6" w:space="0" w:color="414142"/>
              <w:bottom w:val="outset" w:sz="6" w:space="0" w:color="414142"/>
              <w:right w:val="outset" w:sz="6" w:space="0" w:color="414142"/>
            </w:tcBorders>
            <w:hideMark/>
          </w:tcPr>
          <w:p w14:paraId="335C417B" w14:textId="77777777"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0</w:t>
            </w:r>
          </w:p>
        </w:tc>
        <w:tc>
          <w:tcPr>
            <w:tcW w:w="690" w:type="pct"/>
            <w:tcBorders>
              <w:top w:val="outset" w:sz="6" w:space="0" w:color="414142"/>
              <w:left w:val="outset" w:sz="6" w:space="0" w:color="414142"/>
              <w:bottom w:val="outset" w:sz="6" w:space="0" w:color="414142"/>
              <w:right w:val="outset" w:sz="6" w:space="0" w:color="414142"/>
            </w:tcBorders>
            <w:hideMark/>
          </w:tcPr>
          <w:p w14:paraId="335C417C" w14:textId="5C024A6D"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76</w:t>
            </w:r>
            <w:r w:rsidR="001219AD">
              <w:rPr>
                <w:rFonts w:ascii="Times New Roman" w:eastAsia="Times New Roman" w:hAnsi="Times New Roman" w:cs="Times New Roman"/>
                <w:sz w:val="24"/>
                <w:szCs w:val="24"/>
                <w:lang w:eastAsia="lv-LV"/>
              </w:rPr>
              <w:t xml:space="preserve"> </w:t>
            </w:r>
            <w:r w:rsidRPr="0007358F">
              <w:rPr>
                <w:rFonts w:ascii="Times New Roman" w:eastAsia="Times New Roman" w:hAnsi="Times New Roman" w:cs="Times New Roman"/>
                <w:sz w:val="24"/>
                <w:szCs w:val="24"/>
                <w:lang w:eastAsia="lv-LV"/>
              </w:rPr>
              <w:t>595</w:t>
            </w:r>
          </w:p>
        </w:tc>
        <w:tc>
          <w:tcPr>
            <w:tcW w:w="597" w:type="pct"/>
            <w:tcBorders>
              <w:top w:val="outset" w:sz="6" w:space="0" w:color="414142"/>
              <w:left w:val="outset" w:sz="6" w:space="0" w:color="414142"/>
              <w:bottom w:val="outset" w:sz="6" w:space="0" w:color="414142"/>
              <w:right w:val="outset" w:sz="6" w:space="0" w:color="414142"/>
            </w:tcBorders>
          </w:tcPr>
          <w:p w14:paraId="335C417D" w14:textId="638F6643" w:rsidR="007537F6" w:rsidRPr="0007358F" w:rsidRDefault="00891FE1" w:rsidP="00CD46A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76 595</w:t>
            </w:r>
          </w:p>
        </w:tc>
        <w:tc>
          <w:tcPr>
            <w:tcW w:w="611" w:type="pct"/>
            <w:tcBorders>
              <w:top w:val="outset" w:sz="6" w:space="0" w:color="414142"/>
              <w:left w:val="outset" w:sz="6" w:space="0" w:color="414142"/>
              <w:bottom w:val="outset" w:sz="6" w:space="0" w:color="414142"/>
              <w:right w:val="outset" w:sz="6" w:space="0" w:color="414142"/>
            </w:tcBorders>
          </w:tcPr>
          <w:p w14:paraId="335C417E" w14:textId="32A09228" w:rsidR="007537F6" w:rsidRPr="0007358F" w:rsidRDefault="00891FE1" w:rsidP="00CD46A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76 595</w:t>
            </w:r>
          </w:p>
        </w:tc>
      </w:tr>
      <w:tr w:rsidR="007537F6" w:rsidRPr="0007358F" w14:paraId="335C4186" w14:textId="77777777" w:rsidTr="00FF74F5">
        <w:trPr>
          <w:gridBefore w:val="1"/>
          <w:wBefore w:w="7" w:type="pct"/>
        </w:trPr>
        <w:tc>
          <w:tcPr>
            <w:tcW w:w="1781" w:type="pct"/>
            <w:gridSpan w:val="2"/>
            <w:tcBorders>
              <w:top w:val="outset" w:sz="6" w:space="0" w:color="414142"/>
              <w:left w:val="outset" w:sz="6" w:space="0" w:color="414142"/>
              <w:bottom w:val="outset" w:sz="6" w:space="0" w:color="414142"/>
              <w:right w:val="outset" w:sz="6" w:space="0" w:color="414142"/>
            </w:tcBorders>
            <w:hideMark/>
          </w:tcPr>
          <w:p w14:paraId="335C4180" w14:textId="77777777" w:rsidR="007537F6" w:rsidRPr="0007358F" w:rsidRDefault="007537F6"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2.2. valsts speciālais budžets</w:t>
            </w:r>
          </w:p>
        </w:tc>
        <w:tc>
          <w:tcPr>
            <w:tcW w:w="664" w:type="pct"/>
            <w:tcBorders>
              <w:top w:val="outset" w:sz="6" w:space="0" w:color="414142"/>
              <w:left w:val="outset" w:sz="6" w:space="0" w:color="414142"/>
              <w:bottom w:val="outset" w:sz="6" w:space="0" w:color="414142"/>
              <w:right w:val="outset" w:sz="6" w:space="0" w:color="414142"/>
            </w:tcBorders>
            <w:hideMark/>
          </w:tcPr>
          <w:p w14:paraId="335C4181" w14:textId="77777777"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p>
        </w:tc>
        <w:tc>
          <w:tcPr>
            <w:tcW w:w="650" w:type="pct"/>
            <w:tcBorders>
              <w:top w:val="outset" w:sz="6" w:space="0" w:color="414142"/>
              <w:left w:val="outset" w:sz="6" w:space="0" w:color="414142"/>
              <w:bottom w:val="outset" w:sz="6" w:space="0" w:color="414142"/>
              <w:right w:val="outset" w:sz="6" w:space="0" w:color="414142"/>
            </w:tcBorders>
            <w:hideMark/>
          </w:tcPr>
          <w:p w14:paraId="335C4182" w14:textId="77777777"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p>
        </w:tc>
        <w:tc>
          <w:tcPr>
            <w:tcW w:w="690" w:type="pct"/>
            <w:tcBorders>
              <w:top w:val="outset" w:sz="6" w:space="0" w:color="414142"/>
              <w:left w:val="outset" w:sz="6" w:space="0" w:color="414142"/>
              <w:bottom w:val="outset" w:sz="6" w:space="0" w:color="414142"/>
              <w:right w:val="outset" w:sz="6" w:space="0" w:color="414142"/>
            </w:tcBorders>
            <w:hideMark/>
          </w:tcPr>
          <w:p w14:paraId="335C4183" w14:textId="77777777"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p>
        </w:tc>
        <w:tc>
          <w:tcPr>
            <w:tcW w:w="597" w:type="pct"/>
            <w:tcBorders>
              <w:top w:val="outset" w:sz="6" w:space="0" w:color="414142"/>
              <w:left w:val="outset" w:sz="6" w:space="0" w:color="414142"/>
              <w:bottom w:val="outset" w:sz="6" w:space="0" w:color="414142"/>
              <w:right w:val="outset" w:sz="6" w:space="0" w:color="414142"/>
            </w:tcBorders>
          </w:tcPr>
          <w:p w14:paraId="335C4184" w14:textId="77777777"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p>
        </w:tc>
        <w:tc>
          <w:tcPr>
            <w:tcW w:w="611" w:type="pct"/>
            <w:tcBorders>
              <w:top w:val="outset" w:sz="6" w:space="0" w:color="414142"/>
              <w:left w:val="outset" w:sz="6" w:space="0" w:color="414142"/>
              <w:bottom w:val="outset" w:sz="6" w:space="0" w:color="414142"/>
              <w:right w:val="outset" w:sz="6" w:space="0" w:color="414142"/>
            </w:tcBorders>
          </w:tcPr>
          <w:p w14:paraId="335C4185" w14:textId="77777777"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p>
        </w:tc>
      </w:tr>
      <w:tr w:rsidR="007537F6" w:rsidRPr="0007358F" w14:paraId="335C418D" w14:textId="77777777" w:rsidTr="00FF74F5">
        <w:trPr>
          <w:gridBefore w:val="1"/>
          <w:wBefore w:w="7" w:type="pct"/>
        </w:trPr>
        <w:tc>
          <w:tcPr>
            <w:tcW w:w="1781" w:type="pct"/>
            <w:gridSpan w:val="2"/>
            <w:tcBorders>
              <w:top w:val="outset" w:sz="6" w:space="0" w:color="414142"/>
              <w:left w:val="outset" w:sz="6" w:space="0" w:color="414142"/>
              <w:bottom w:val="outset" w:sz="6" w:space="0" w:color="414142"/>
              <w:right w:val="outset" w:sz="6" w:space="0" w:color="414142"/>
            </w:tcBorders>
            <w:hideMark/>
          </w:tcPr>
          <w:p w14:paraId="335C4187" w14:textId="77777777" w:rsidR="007537F6" w:rsidRPr="0007358F" w:rsidRDefault="007537F6"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2.3. pašvaldību budžets</w:t>
            </w:r>
          </w:p>
        </w:tc>
        <w:tc>
          <w:tcPr>
            <w:tcW w:w="664" w:type="pct"/>
            <w:tcBorders>
              <w:top w:val="outset" w:sz="6" w:space="0" w:color="414142"/>
              <w:left w:val="outset" w:sz="6" w:space="0" w:color="414142"/>
              <w:bottom w:val="outset" w:sz="6" w:space="0" w:color="414142"/>
              <w:right w:val="outset" w:sz="6" w:space="0" w:color="414142"/>
            </w:tcBorders>
            <w:hideMark/>
          </w:tcPr>
          <w:p w14:paraId="335C4188" w14:textId="77777777" w:rsidR="007537F6" w:rsidRPr="0007358F" w:rsidRDefault="007537F6"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335C4189" w14:textId="77777777" w:rsidR="007537F6" w:rsidRPr="0007358F" w:rsidRDefault="007537F6"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 </w:t>
            </w:r>
          </w:p>
        </w:tc>
        <w:tc>
          <w:tcPr>
            <w:tcW w:w="690" w:type="pct"/>
            <w:tcBorders>
              <w:top w:val="outset" w:sz="6" w:space="0" w:color="414142"/>
              <w:left w:val="outset" w:sz="6" w:space="0" w:color="414142"/>
              <w:bottom w:val="outset" w:sz="6" w:space="0" w:color="414142"/>
              <w:right w:val="outset" w:sz="6" w:space="0" w:color="414142"/>
            </w:tcBorders>
            <w:hideMark/>
          </w:tcPr>
          <w:p w14:paraId="335C418A" w14:textId="77777777" w:rsidR="007537F6" w:rsidRPr="0007358F" w:rsidRDefault="007537F6"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 </w:t>
            </w:r>
          </w:p>
        </w:tc>
        <w:tc>
          <w:tcPr>
            <w:tcW w:w="597" w:type="pct"/>
            <w:tcBorders>
              <w:top w:val="outset" w:sz="6" w:space="0" w:color="414142"/>
              <w:left w:val="outset" w:sz="6" w:space="0" w:color="414142"/>
              <w:bottom w:val="outset" w:sz="6" w:space="0" w:color="414142"/>
              <w:right w:val="outset" w:sz="6" w:space="0" w:color="414142"/>
            </w:tcBorders>
          </w:tcPr>
          <w:p w14:paraId="335C418B" w14:textId="77777777" w:rsidR="007537F6" w:rsidRPr="0007358F" w:rsidRDefault="007537F6"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 </w:t>
            </w:r>
          </w:p>
        </w:tc>
        <w:tc>
          <w:tcPr>
            <w:tcW w:w="611" w:type="pct"/>
            <w:tcBorders>
              <w:top w:val="outset" w:sz="6" w:space="0" w:color="414142"/>
              <w:left w:val="outset" w:sz="6" w:space="0" w:color="414142"/>
              <w:bottom w:val="outset" w:sz="6" w:space="0" w:color="414142"/>
              <w:right w:val="outset" w:sz="6" w:space="0" w:color="414142"/>
            </w:tcBorders>
          </w:tcPr>
          <w:p w14:paraId="335C418C" w14:textId="77777777" w:rsidR="007537F6" w:rsidRPr="0007358F" w:rsidRDefault="007537F6"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 </w:t>
            </w:r>
          </w:p>
        </w:tc>
      </w:tr>
      <w:tr w:rsidR="007537F6" w:rsidRPr="0007358F" w14:paraId="335C4194" w14:textId="77777777" w:rsidTr="00FF74F5">
        <w:trPr>
          <w:gridBefore w:val="1"/>
          <w:wBefore w:w="7" w:type="pct"/>
        </w:trPr>
        <w:tc>
          <w:tcPr>
            <w:tcW w:w="1781" w:type="pct"/>
            <w:gridSpan w:val="2"/>
            <w:tcBorders>
              <w:top w:val="outset" w:sz="6" w:space="0" w:color="414142"/>
              <w:left w:val="outset" w:sz="6" w:space="0" w:color="414142"/>
              <w:bottom w:val="outset" w:sz="6" w:space="0" w:color="414142"/>
              <w:right w:val="outset" w:sz="6" w:space="0" w:color="414142"/>
            </w:tcBorders>
            <w:hideMark/>
          </w:tcPr>
          <w:p w14:paraId="335C418E" w14:textId="77777777" w:rsidR="007537F6" w:rsidRPr="0007358F" w:rsidRDefault="007537F6"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3. Finansiālā ietekme:</w:t>
            </w:r>
          </w:p>
        </w:tc>
        <w:tc>
          <w:tcPr>
            <w:tcW w:w="664" w:type="pct"/>
            <w:tcBorders>
              <w:top w:val="outset" w:sz="6" w:space="0" w:color="414142"/>
              <w:left w:val="outset" w:sz="6" w:space="0" w:color="414142"/>
              <w:bottom w:val="outset" w:sz="6" w:space="0" w:color="414142"/>
              <w:right w:val="outset" w:sz="6" w:space="0" w:color="414142"/>
            </w:tcBorders>
            <w:hideMark/>
          </w:tcPr>
          <w:p w14:paraId="335C418F" w14:textId="675FCEDD" w:rsidR="007537F6" w:rsidRPr="0007358F" w:rsidRDefault="00602137" w:rsidP="00CD46A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-146 000</w:t>
            </w:r>
          </w:p>
        </w:tc>
        <w:tc>
          <w:tcPr>
            <w:tcW w:w="650" w:type="pct"/>
            <w:tcBorders>
              <w:top w:val="outset" w:sz="6" w:space="0" w:color="414142"/>
              <w:left w:val="outset" w:sz="6" w:space="0" w:color="414142"/>
              <w:bottom w:val="outset" w:sz="6" w:space="0" w:color="414142"/>
              <w:right w:val="outset" w:sz="6" w:space="0" w:color="414142"/>
            </w:tcBorders>
            <w:hideMark/>
          </w:tcPr>
          <w:p w14:paraId="335C4190" w14:textId="77777777"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0</w:t>
            </w:r>
          </w:p>
        </w:tc>
        <w:tc>
          <w:tcPr>
            <w:tcW w:w="690" w:type="pct"/>
            <w:tcBorders>
              <w:top w:val="outset" w:sz="6" w:space="0" w:color="414142"/>
              <w:left w:val="outset" w:sz="6" w:space="0" w:color="414142"/>
              <w:bottom w:val="outset" w:sz="6" w:space="0" w:color="414142"/>
              <w:right w:val="outset" w:sz="6" w:space="0" w:color="414142"/>
            </w:tcBorders>
            <w:hideMark/>
          </w:tcPr>
          <w:p w14:paraId="335C4191" w14:textId="1B155994" w:rsidR="007537F6" w:rsidRPr="0007358F" w:rsidRDefault="000D2578" w:rsidP="00CD46A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703</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405</w:t>
            </w:r>
          </w:p>
        </w:tc>
        <w:tc>
          <w:tcPr>
            <w:tcW w:w="597" w:type="pct"/>
            <w:tcBorders>
              <w:top w:val="outset" w:sz="6" w:space="0" w:color="414142"/>
              <w:left w:val="outset" w:sz="6" w:space="0" w:color="414142"/>
              <w:bottom w:val="outset" w:sz="6" w:space="0" w:color="414142"/>
              <w:right w:val="outset" w:sz="6" w:space="0" w:color="414142"/>
            </w:tcBorders>
          </w:tcPr>
          <w:p w14:paraId="335C4192" w14:textId="11BF58C7" w:rsidR="007537F6" w:rsidRPr="0007358F" w:rsidRDefault="000D2578" w:rsidP="00891FE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703</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405v</w:t>
            </w:r>
          </w:p>
        </w:tc>
        <w:tc>
          <w:tcPr>
            <w:tcW w:w="611" w:type="pct"/>
            <w:tcBorders>
              <w:top w:val="outset" w:sz="6" w:space="0" w:color="414142"/>
              <w:left w:val="outset" w:sz="6" w:space="0" w:color="414142"/>
              <w:bottom w:val="outset" w:sz="6" w:space="0" w:color="414142"/>
              <w:right w:val="outset" w:sz="6" w:space="0" w:color="414142"/>
            </w:tcBorders>
          </w:tcPr>
          <w:p w14:paraId="335C4193" w14:textId="23722D0B" w:rsidR="007537F6" w:rsidRPr="0007358F" w:rsidRDefault="000D2578" w:rsidP="00CD46A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703</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405</w:t>
            </w:r>
          </w:p>
        </w:tc>
      </w:tr>
      <w:tr w:rsidR="007537F6" w:rsidRPr="0007358F" w14:paraId="335C419B" w14:textId="77777777" w:rsidTr="00FF74F5">
        <w:trPr>
          <w:gridBefore w:val="1"/>
          <w:wBefore w:w="7" w:type="pct"/>
        </w:trPr>
        <w:tc>
          <w:tcPr>
            <w:tcW w:w="1781" w:type="pct"/>
            <w:gridSpan w:val="2"/>
            <w:tcBorders>
              <w:top w:val="outset" w:sz="6" w:space="0" w:color="414142"/>
              <w:left w:val="outset" w:sz="6" w:space="0" w:color="414142"/>
              <w:bottom w:val="outset" w:sz="6" w:space="0" w:color="414142"/>
              <w:right w:val="outset" w:sz="6" w:space="0" w:color="414142"/>
            </w:tcBorders>
            <w:hideMark/>
          </w:tcPr>
          <w:p w14:paraId="335C4195" w14:textId="77777777" w:rsidR="007537F6" w:rsidRPr="0007358F" w:rsidRDefault="007537F6"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3.1. valsts pamatbudžets</w:t>
            </w:r>
          </w:p>
        </w:tc>
        <w:tc>
          <w:tcPr>
            <w:tcW w:w="664" w:type="pct"/>
            <w:tcBorders>
              <w:top w:val="outset" w:sz="6" w:space="0" w:color="414142"/>
              <w:left w:val="outset" w:sz="6" w:space="0" w:color="414142"/>
              <w:bottom w:val="outset" w:sz="6" w:space="0" w:color="414142"/>
              <w:right w:val="outset" w:sz="6" w:space="0" w:color="414142"/>
            </w:tcBorders>
            <w:hideMark/>
          </w:tcPr>
          <w:p w14:paraId="335C4196" w14:textId="0116B814" w:rsidR="007537F6" w:rsidRPr="0007358F" w:rsidRDefault="00602137" w:rsidP="00CD46A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-146 000</w:t>
            </w:r>
          </w:p>
        </w:tc>
        <w:tc>
          <w:tcPr>
            <w:tcW w:w="650" w:type="pct"/>
            <w:tcBorders>
              <w:top w:val="outset" w:sz="6" w:space="0" w:color="414142"/>
              <w:left w:val="outset" w:sz="6" w:space="0" w:color="414142"/>
              <w:bottom w:val="outset" w:sz="6" w:space="0" w:color="414142"/>
              <w:right w:val="outset" w:sz="6" w:space="0" w:color="414142"/>
            </w:tcBorders>
            <w:hideMark/>
          </w:tcPr>
          <w:p w14:paraId="335C4197" w14:textId="77777777"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0</w:t>
            </w:r>
          </w:p>
        </w:tc>
        <w:tc>
          <w:tcPr>
            <w:tcW w:w="690" w:type="pct"/>
            <w:tcBorders>
              <w:top w:val="outset" w:sz="6" w:space="0" w:color="414142"/>
              <w:left w:val="outset" w:sz="6" w:space="0" w:color="414142"/>
              <w:bottom w:val="outset" w:sz="6" w:space="0" w:color="414142"/>
              <w:right w:val="outset" w:sz="6" w:space="0" w:color="414142"/>
            </w:tcBorders>
            <w:hideMark/>
          </w:tcPr>
          <w:p w14:paraId="335C4198" w14:textId="1DD5600B" w:rsidR="007537F6" w:rsidRPr="0007358F" w:rsidRDefault="000D2578" w:rsidP="00CD46A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703</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405</w:t>
            </w:r>
          </w:p>
        </w:tc>
        <w:tc>
          <w:tcPr>
            <w:tcW w:w="597" w:type="pct"/>
            <w:tcBorders>
              <w:top w:val="outset" w:sz="6" w:space="0" w:color="414142"/>
              <w:left w:val="outset" w:sz="6" w:space="0" w:color="414142"/>
              <w:bottom w:val="outset" w:sz="6" w:space="0" w:color="414142"/>
              <w:right w:val="outset" w:sz="6" w:space="0" w:color="414142"/>
            </w:tcBorders>
          </w:tcPr>
          <w:p w14:paraId="335C4199" w14:textId="2604BC58" w:rsidR="007537F6" w:rsidRPr="0007358F" w:rsidRDefault="000D2578" w:rsidP="00891FE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703</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405</w:t>
            </w:r>
          </w:p>
        </w:tc>
        <w:tc>
          <w:tcPr>
            <w:tcW w:w="611" w:type="pct"/>
            <w:tcBorders>
              <w:top w:val="outset" w:sz="6" w:space="0" w:color="414142"/>
              <w:left w:val="outset" w:sz="6" w:space="0" w:color="414142"/>
              <w:bottom w:val="outset" w:sz="6" w:space="0" w:color="414142"/>
              <w:right w:val="outset" w:sz="6" w:space="0" w:color="414142"/>
            </w:tcBorders>
          </w:tcPr>
          <w:p w14:paraId="335C419A" w14:textId="6C3BA639" w:rsidR="007537F6" w:rsidRPr="0007358F" w:rsidRDefault="000D2578" w:rsidP="00CD46A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703</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405</w:t>
            </w:r>
          </w:p>
        </w:tc>
      </w:tr>
      <w:tr w:rsidR="007537F6" w:rsidRPr="0007358F" w14:paraId="335C41A2" w14:textId="77777777" w:rsidTr="00FF74F5">
        <w:trPr>
          <w:gridBefore w:val="1"/>
          <w:wBefore w:w="7" w:type="pct"/>
        </w:trPr>
        <w:tc>
          <w:tcPr>
            <w:tcW w:w="1781" w:type="pct"/>
            <w:gridSpan w:val="2"/>
            <w:tcBorders>
              <w:top w:val="outset" w:sz="6" w:space="0" w:color="414142"/>
              <w:left w:val="outset" w:sz="6" w:space="0" w:color="414142"/>
              <w:bottom w:val="outset" w:sz="6" w:space="0" w:color="414142"/>
              <w:right w:val="outset" w:sz="6" w:space="0" w:color="414142"/>
            </w:tcBorders>
            <w:hideMark/>
          </w:tcPr>
          <w:p w14:paraId="335C419C" w14:textId="77777777" w:rsidR="007537F6" w:rsidRPr="0007358F" w:rsidRDefault="007537F6"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3.2. speciālais budžets</w:t>
            </w:r>
          </w:p>
        </w:tc>
        <w:tc>
          <w:tcPr>
            <w:tcW w:w="664" w:type="pct"/>
            <w:tcBorders>
              <w:top w:val="outset" w:sz="6" w:space="0" w:color="414142"/>
              <w:left w:val="outset" w:sz="6" w:space="0" w:color="414142"/>
              <w:bottom w:val="outset" w:sz="6" w:space="0" w:color="414142"/>
              <w:right w:val="outset" w:sz="6" w:space="0" w:color="414142"/>
            </w:tcBorders>
            <w:hideMark/>
          </w:tcPr>
          <w:p w14:paraId="335C419D" w14:textId="77777777" w:rsidR="007537F6" w:rsidRPr="0007358F" w:rsidRDefault="007537F6"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335C419E" w14:textId="77777777" w:rsidR="007537F6" w:rsidRPr="0007358F" w:rsidRDefault="007537F6"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 </w:t>
            </w:r>
          </w:p>
        </w:tc>
        <w:tc>
          <w:tcPr>
            <w:tcW w:w="690" w:type="pct"/>
            <w:tcBorders>
              <w:top w:val="outset" w:sz="6" w:space="0" w:color="414142"/>
              <w:left w:val="outset" w:sz="6" w:space="0" w:color="414142"/>
              <w:bottom w:val="outset" w:sz="6" w:space="0" w:color="414142"/>
              <w:right w:val="outset" w:sz="6" w:space="0" w:color="414142"/>
            </w:tcBorders>
            <w:hideMark/>
          </w:tcPr>
          <w:p w14:paraId="335C419F" w14:textId="77777777" w:rsidR="007537F6" w:rsidRPr="0007358F" w:rsidRDefault="007537F6"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 </w:t>
            </w:r>
          </w:p>
        </w:tc>
        <w:tc>
          <w:tcPr>
            <w:tcW w:w="597" w:type="pct"/>
            <w:tcBorders>
              <w:top w:val="outset" w:sz="6" w:space="0" w:color="414142"/>
              <w:left w:val="outset" w:sz="6" w:space="0" w:color="414142"/>
              <w:bottom w:val="outset" w:sz="6" w:space="0" w:color="414142"/>
              <w:right w:val="outset" w:sz="6" w:space="0" w:color="414142"/>
            </w:tcBorders>
            <w:hideMark/>
          </w:tcPr>
          <w:p w14:paraId="335C41A0" w14:textId="77777777" w:rsidR="007537F6" w:rsidRPr="0007358F" w:rsidRDefault="007537F6"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 </w:t>
            </w:r>
          </w:p>
        </w:tc>
        <w:tc>
          <w:tcPr>
            <w:tcW w:w="611" w:type="pct"/>
            <w:tcBorders>
              <w:top w:val="outset" w:sz="6" w:space="0" w:color="414142"/>
              <w:left w:val="outset" w:sz="6" w:space="0" w:color="414142"/>
              <w:bottom w:val="outset" w:sz="6" w:space="0" w:color="414142"/>
              <w:right w:val="outset" w:sz="6" w:space="0" w:color="414142"/>
            </w:tcBorders>
            <w:hideMark/>
          </w:tcPr>
          <w:p w14:paraId="335C41A1" w14:textId="77777777" w:rsidR="007537F6" w:rsidRPr="0007358F" w:rsidRDefault="007537F6"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 </w:t>
            </w:r>
          </w:p>
        </w:tc>
      </w:tr>
      <w:tr w:rsidR="007537F6" w:rsidRPr="0007358F" w14:paraId="335C41A9" w14:textId="77777777" w:rsidTr="00FF74F5">
        <w:trPr>
          <w:gridBefore w:val="1"/>
          <w:wBefore w:w="7" w:type="pct"/>
        </w:trPr>
        <w:tc>
          <w:tcPr>
            <w:tcW w:w="1781" w:type="pct"/>
            <w:gridSpan w:val="2"/>
            <w:tcBorders>
              <w:top w:val="outset" w:sz="6" w:space="0" w:color="414142"/>
              <w:left w:val="outset" w:sz="6" w:space="0" w:color="414142"/>
              <w:bottom w:val="outset" w:sz="6" w:space="0" w:color="414142"/>
              <w:right w:val="outset" w:sz="6" w:space="0" w:color="414142"/>
            </w:tcBorders>
            <w:hideMark/>
          </w:tcPr>
          <w:p w14:paraId="335C41A3" w14:textId="77777777" w:rsidR="007537F6" w:rsidRPr="0007358F" w:rsidRDefault="007537F6"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3.3. pašvaldību budžets</w:t>
            </w:r>
          </w:p>
        </w:tc>
        <w:tc>
          <w:tcPr>
            <w:tcW w:w="664" w:type="pct"/>
            <w:tcBorders>
              <w:top w:val="outset" w:sz="6" w:space="0" w:color="414142"/>
              <w:left w:val="outset" w:sz="6" w:space="0" w:color="414142"/>
              <w:bottom w:val="outset" w:sz="6" w:space="0" w:color="414142"/>
              <w:right w:val="outset" w:sz="6" w:space="0" w:color="414142"/>
            </w:tcBorders>
            <w:hideMark/>
          </w:tcPr>
          <w:p w14:paraId="335C41A4" w14:textId="77777777" w:rsidR="007537F6" w:rsidRPr="0007358F" w:rsidRDefault="007537F6"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 </w:t>
            </w:r>
          </w:p>
        </w:tc>
        <w:tc>
          <w:tcPr>
            <w:tcW w:w="650" w:type="pct"/>
            <w:tcBorders>
              <w:top w:val="outset" w:sz="6" w:space="0" w:color="414142"/>
              <w:left w:val="outset" w:sz="6" w:space="0" w:color="414142"/>
              <w:bottom w:val="outset" w:sz="6" w:space="0" w:color="414142"/>
              <w:right w:val="outset" w:sz="6" w:space="0" w:color="414142"/>
            </w:tcBorders>
            <w:hideMark/>
          </w:tcPr>
          <w:p w14:paraId="335C41A5" w14:textId="77777777" w:rsidR="007537F6" w:rsidRPr="0007358F" w:rsidRDefault="007537F6"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 </w:t>
            </w:r>
          </w:p>
        </w:tc>
        <w:tc>
          <w:tcPr>
            <w:tcW w:w="690" w:type="pct"/>
            <w:tcBorders>
              <w:top w:val="outset" w:sz="6" w:space="0" w:color="414142"/>
              <w:left w:val="outset" w:sz="6" w:space="0" w:color="414142"/>
              <w:bottom w:val="outset" w:sz="6" w:space="0" w:color="414142"/>
              <w:right w:val="outset" w:sz="6" w:space="0" w:color="414142"/>
            </w:tcBorders>
            <w:hideMark/>
          </w:tcPr>
          <w:p w14:paraId="335C41A6" w14:textId="77777777" w:rsidR="007537F6" w:rsidRPr="0007358F" w:rsidRDefault="007537F6"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 </w:t>
            </w:r>
          </w:p>
        </w:tc>
        <w:tc>
          <w:tcPr>
            <w:tcW w:w="597" w:type="pct"/>
            <w:tcBorders>
              <w:top w:val="outset" w:sz="6" w:space="0" w:color="414142"/>
              <w:left w:val="outset" w:sz="6" w:space="0" w:color="414142"/>
              <w:bottom w:val="outset" w:sz="6" w:space="0" w:color="414142"/>
              <w:right w:val="outset" w:sz="6" w:space="0" w:color="414142"/>
            </w:tcBorders>
            <w:hideMark/>
          </w:tcPr>
          <w:p w14:paraId="335C41A7" w14:textId="77777777" w:rsidR="007537F6" w:rsidRPr="0007358F" w:rsidRDefault="007537F6"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 </w:t>
            </w:r>
          </w:p>
        </w:tc>
        <w:tc>
          <w:tcPr>
            <w:tcW w:w="611" w:type="pct"/>
            <w:tcBorders>
              <w:top w:val="outset" w:sz="6" w:space="0" w:color="414142"/>
              <w:left w:val="outset" w:sz="6" w:space="0" w:color="414142"/>
              <w:bottom w:val="outset" w:sz="6" w:space="0" w:color="414142"/>
              <w:right w:val="outset" w:sz="6" w:space="0" w:color="414142"/>
            </w:tcBorders>
            <w:hideMark/>
          </w:tcPr>
          <w:p w14:paraId="335C41A8" w14:textId="77777777" w:rsidR="007537F6" w:rsidRPr="0007358F" w:rsidRDefault="007537F6"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 </w:t>
            </w:r>
          </w:p>
        </w:tc>
      </w:tr>
      <w:tr w:rsidR="007537F6" w:rsidRPr="0007358F" w14:paraId="335C41B1" w14:textId="77777777" w:rsidTr="00FF74F5">
        <w:trPr>
          <w:gridBefore w:val="1"/>
          <w:wBefore w:w="7" w:type="pct"/>
          <w:trHeight w:val="1380"/>
        </w:trPr>
        <w:tc>
          <w:tcPr>
            <w:tcW w:w="1781" w:type="pct"/>
            <w:gridSpan w:val="2"/>
            <w:tcBorders>
              <w:top w:val="outset" w:sz="6" w:space="0" w:color="414142"/>
              <w:left w:val="outset" w:sz="6" w:space="0" w:color="414142"/>
              <w:bottom w:val="outset" w:sz="6" w:space="0" w:color="414142"/>
              <w:right w:val="outset" w:sz="6" w:space="0" w:color="414142"/>
            </w:tcBorders>
            <w:hideMark/>
          </w:tcPr>
          <w:p w14:paraId="335C41AA" w14:textId="77777777" w:rsidR="007537F6" w:rsidRPr="0007358F" w:rsidRDefault="007537F6"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4. Finanšu līdzekļi papildu izdevumu finansēšanai (kompensējošu izdevumu samazinājumu norāda ar "+" zīmi)</w:t>
            </w:r>
          </w:p>
        </w:tc>
        <w:tc>
          <w:tcPr>
            <w:tcW w:w="664" w:type="pct"/>
            <w:tcBorders>
              <w:top w:val="outset" w:sz="6" w:space="0" w:color="414142"/>
              <w:left w:val="outset" w:sz="6" w:space="0" w:color="414142"/>
              <w:bottom w:val="outset" w:sz="6" w:space="0" w:color="414142"/>
              <w:right w:val="outset" w:sz="6" w:space="0" w:color="414142"/>
            </w:tcBorders>
            <w:hideMark/>
          </w:tcPr>
          <w:p w14:paraId="335C41AB" w14:textId="77777777"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X</w:t>
            </w:r>
          </w:p>
        </w:tc>
        <w:tc>
          <w:tcPr>
            <w:tcW w:w="650" w:type="pct"/>
            <w:tcBorders>
              <w:top w:val="outset" w:sz="6" w:space="0" w:color="414142"/>
              <w:left w:val="outset" w:sz="6" w:space="0" w:color="414142"/>
              <w:right w:val="outset" w:sz="6" w:space="0" w:color="414142"/>
            </w:tcBorders>
            <w:hideMark/>
          </w:tcPr>
          <w:p w14:paraId="335C41AC" w14:textId="77777777"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0</w:t>
            </w:r>
          </w:p>
        </w:tc>
        <w:tc>
          <w:tcPr>
            <w:tcW w:w="690" w:type="pct"/>
            <w:tcBorders>
              <w:top w:val="outset" w:sz="6" w:space="0" w:color="414142"/>
              <w:left w:val="outset" w:sz="6" w:space="0" w:color="414142"/>
              <w:right w:val="outset" w:sz="6" w:space="0" w:color="414142"/>
            </w:tcBorders>
            <w:hideMark/>
          </w:tcPr>
          <w:p w14:paraId="335C41AD" w14:textId="77777777"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0</w:t>
            </w:r>
          </w:p>
        </w:tc>
        <w:tc>
          <w:tcPr>
            <w:tcW w:w="597" w:type="pct"/>
            <w:tcBorders>
              <w:top w:val="outset" w:sz="6" w:space="0" w:color="414142"/>
              <w:left w:val="outset" w:sz="6" w:space="0" w:color="414142"/>
              <w:right w:val="outset" w:sz="6" w:space="0" w:color="414142"/>
            </w:tcBorders>
            <w:hideMark/>
          </w:tcPr>
          <w:p w14:paraId="335C41AE" w14:textId="77777777"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0</w:t>
            </w:r>
          </w:p>
        </w:tc>
        <w:tc>
          <w:tcPr>
            <w:tcW w:w="611" w:type="pct"/>
            <w:tcBorders>
              <w:top w:val="outset" w:sz="6" w:space="0" w:color="414142"/>
              <w:left w:val="outset" w:sz="6" w:space="0" w:color="414142"/>
              <w:right w:val="outset" w:sz="6" w:space="0" w:color="414142"/>
            </w:tcBorders>
            <w:hideMark/>
          </w:tcPr>
          <w:p w14:paraId="335C41AF" w14:textId="77777777"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0</w:t>
            </w:r>
          </w:p>
          <w:p w14:paraId="335C41B0" w14:textId="77777777" w:rsidR="007537F6" w:rsidRPr="0007358F" w:rsidRDefault="007537F6" w:rsidP="00CD46AC">
            <w:pPr>
              <w:spacing w:after="0" w:line="240" w:lineRule="auto"/>
              <w:jc w:val="center"/>
              <w:rPr>
                <w:rFonts w:ascii="Times New Roman" w:eastAsia="Times New Roman" w:hAnsi="Times New Roman" w:cs="Times New Roman"/>
                <w:sz w:val="24"/>
                <w:szCs w:val="24"/>
                <w:lang w:eastAsia="lv-LV"/>
              </w:rPr>
            </w:pPr>
          </w:p>
        </w:tc>
      </w:tr>
      <w:tr w:rsidR="00182D9C" w:rsidRPr="0007358F" w14:paraId="335C41B8" w14:textId="77777777" w:rsidTr="00FF74F5">
        <w:trPr>
          <w:gridBefore w:val="1"/>
          <w:wBefore w:w="7" w:type="pct"/>
        </w:trPr>
        <w:tc>
          <w:tcPr>
            <w:tcW w:w="1781" w:type="pct"/>
            <w:gridSpan w:val="2"/>
            <w:tcBorders>
              <w:top w:val="outset" w:sz="6" w:space="0" w:color="414142"/>
              <w:left w:val="outset" w:sz="6" w:space="0" w:color="414142"/>
              <w:bottom w:val="outset" w:sz="6" w:space="0" w:color="414142"/>
              <w:right w:val="outset" w:sz="6" w:space="0" w:color="414142"/>
            </w:tcBorders>
            <w:hideMark/>
          </w:tcPr>
          <w:p w14:paraId="335C41B2" w14:textId="77777777" w:rsidR="00182D9C" w:rsidRPr="0007358F" w:rsidRDefault="00182D9C"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5. Precizēta finansiālā ietekme:</w:t>
            </w:r>
          </w:p>
        </w:tc>
        <w:tc>
          <w:tcPr>
            <w:tcW w:w="664" w:type="pct"/>
            <w:vMerge w:val="restart"/>
            <w:tcBorders>
              <w:top w:val="outset" w:sz="6" w:space="0" w:color="414142"/>
              <w:left w:val="outset" w:sz="6" w:space="0" w:color="414142"/>
              <w:bottom w:val="outset" w:sz="6" w:space="0" w:color="414142"/>
              <w:right w:val="outset" w:sz="6" w:space="0" w:color="414142"/>
            </w:tcBorders>
            <w:hideMark/>
          </w:tcPr>
          <w:p w14:paraId="335C41B3" w14:textId="77777777" w:rsidR="00182D9C" w:rsidRPr="0007358F" w:rsidRDefault="00182D9C" w:rsidP="00CD46AC">
            <w:pPr>
              <w:spacing w:after="0" w:line="240" w:lineRule="auto"/>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X</w:t>
            </w:r>
          </w:p>
        </w:tc>
        <w:tc>
          <w:tcPr>
            <w:tcW w:w="650" w:type="pct"/>
            <w:tcBorders>
              <w:top w:val="outset" w:sz="6" w:space="0" w:color="414142"/>
              <w:left w:val="outset" w:sz="6" w:space="0" w:color="414142"/>
              <w:bottom w:val="outset" w:sz="6" w:space="0" w:color="414142"/>
              <w:right w:val="outset" w:sz="6" w:space="0" w:color="414142"/>
            </w:tcBorders>
            <w:hideMark/>
          </w:tcPr>
          <w:p w14:paraId="335C41B4" w14:textId="77777777" w:rsidR="00182D9C" w:rsidRPr="0007358F" w:rsidRDefault="00182D9C" w:rsidP="00CD46AC">
            <w:pPr>
              <w:spacing w:after="0" w:line="240" w:lineRule="auto"/>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0</w:t>
            </w:r>
          </w:p>
        </w:tc>
        <w:tc>
          <w:tcPr>
            <w:tcW w:w="690" w:type="pct"/>
            <w:tcBorders>
              <w:top w:val="outset" w:sz="6" w:space="0" w:color="414142"/>
              <w:left w:val="outset" w:sz="6" w:space="0" w:color="414142"/>
              <w:bottom w:val="outset" w:sz="6" w:space="0" w:color="414142"/>
              <w:right w:val="outset" w:sz="6" w:space="0" w:color="414142"/>
            </w:tcBorders>
            <w:hideMark/>
          </w:tcPr>
          <w:p w14:paraId="335C41B5" w14:textId="58A3037A" w:rsidR="00182D9C" w:rsidRPr="0007358F" w:rsidRDefault="000D2578" w:rsidP="00CD46A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703</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405</w:t>
            </w:r>
          </w:p>
        </w:tc>
        <w:tc>
          <w:tcPr>
            <w:tcW w:w="597" w:type="pct"/>
            <w:tcBorders>
              <w:top w:val="outset" w:sz="6" w:space="0" w:color="414142"/>
              <w:left w:val="outset" w:sz="6" w:space="0" w:color="414142"/>
              <w:bottom w:val="outset" w:sz="6" w:space="0" w:color="414142"/>
              <w:right w:val="outset" w:sz="6" w:space="0" w:color="414142"/>
            </w:tcBorders>
          </w:tcPr>
          <w:p w14:paraId="335C41B6" w14:textId="42E1FFB9" w:rsidR="00182D9C" w:rsidRPr="0007358F" w:rsidRDefault="000D2578" w:rsidP="00CD46A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703</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405</w:t>
            </w:r>
          </w:p>
        </w:tc>
        <w:tc>
          <w:tcPr>
            <w:tcW w:w="611" w:type="pct"/>
            <w:tcBorders>
              <w:top w:val="outset" w:sz="6" w:space="0" w:color="414142"/>
              <w:left w:val="outset" w:sz="6" w:space="0" w:color="414142"/>
              <w:bottom w:val="outset" w:sz="6" w:space="0" w:color="414142"/>
              <w:right w:val="outset" w:sz="6" w:space="0" w:color="414142"/>
            </w:tcBorders>
          </w:tcPr>
          <w:p w14:paraId="335C41B7" w14:textId="1E8E4DC3" w:rsidR="00182D9C" w:rsidRPr="0007358F" w:rsidRDefault="000D2578" w:rsidP="00CD46A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703</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405</w:t>
            </w:r>
          </w:p>
        </w:tc>
      </w:tr>
      <w:tr w:rsidR="00182D9C" w:rsidRPr="0007358F" w14:paraId="335C41BF" w14:textId="77777777" w:rsidTr="00FF74F5">
        <w:trPr>
          <w:gridBefore w:val="1"/>
          <w:wBefore w:w="7" w:type="pct"/>
        </w:trPr>
        <w:tc>
          <w:tcPr>
            <w:tcW w:w="1781" w:type="pct"/>
            <w:gridSpan w:val="2"/>
            <w:tcBorders>
              <w:top w:val="outset" w:sz="6" w:space="0" w:color="414142"/>
              <w:left w:val="outset" w:sz="6" w:space="0" w:color="414142"/>
              <w:bottom w:val="outset" w:sz="6" w:space="0" w:color="414142"/>
              <w:right w:val="outset" w:sz="6" w:space="0" w:color="414142"/>
            </w:tcBorders>
            <w:hideMark/>
          </w:tcPr>
          <w:p w14:paraId="335C41B9" w14:textId="77777777" w:rsidR="00182D9C" w:rsidRPr="0007358F" w:rsidRDefault="00182D9C"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5.1. valsts pamatbudžets</w:t>
            </w:r>
          </w:p>
        </w:tc>
        <w:tc>
          <w:tcPr>
            <w:tcW w:w="664" w:type="pct"/>
            <w:vMerge/>
            <w:tcBorders>
              <w:top w:val="outset" w:sz="6" w:space="0" w:color="414142"/>
              <w:left w:val="outset" w:sz="6" w:space="0" w:color="414142"/>
              <w:bottom w:val="outset" w:sz="6" w:space="0" w:color="414142"/>
              <w:right w:val="outset" w:sz="6" w:space="0" w:color="414142"/>
            </w:tcBorders>
            <w:vAlign w:val="center"/>
            <w:hideMark/>
          </w:tcPr>
          <w:p w14:paraId="335C41BA" w14:textId="77777777" w:rsidR="00182D9C" w:rsidRPr="0007358F" w:rsidRDefault="00182D9C" w:rsidP="00CD46AC">
            <w:pPr>
              <w:spacing w:after="0" w:line="240" w:lineRule="auto"/>
              <w:rPr>
                <w:rFonts w:ascii="Times New Roman" w:eastAsia="Times New Roman" w:hAnsi="Times New Roman" w:cs="Times New Roman"/>
                <w:sz w:val="24"/>
                <w:szCs w:val="24"/>
                <w:lang w:eastAsia="lv-LV"/>
              </w:rPr>
            </w:pPr>
          </w:p>
        </w:tc>
        <w:tc>
          <w:tcPr>
            <w:tcW w:w="650" w:type="pct"/>
            <w:tcBorders>
              <w:top w:val="outset" w:sz="6" w:space="0" w:color="414142"/>
              <w:left w:val="outset" w:sz="6" w:space="0" w:color="414142"/>
              <w:bottom w:val="outset" w:sz="6" w:space="0" w:color="414142"/>
              <w:right w:val="outset" w:sz="6" w:space="0" w:color="414142"/>
            </w:tcBorders>
            <w:hideMark/>
          </w:tcPr>
          <w:p w14:paraId="335C41BB" w14:textId="77777777" w:rsidR="00182D9C" w:rsidRPr="0007358F" w:rsidRDefault="00182D9C" w:rsidP="00CD46AC">
            <w:pPr>
              <w:spacing w:after="0" w:line="240" w:lineRule="auto"/>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0</w:t>
            </w:r>
          </w:p>
        </w:tc>
        <w:tc>
          <w:tcPr>
            <w:tcW w:w="690" w:type="pct"/>
            <w:tcBorders>
              <w:top w:val="outset" w:sz="6" w:space="0" w:color="414142"/>
              <w:left w:val="outset" w:sz="6" w:space="0" w:color="414142"/>
              <w:bottom w:val="outset" w:sz="6" w:space="0" w:color="414142"/>
              <w:right w:val="outset" w:sz="6" w:space="0" w:color="414142"/>
            </w:tcBorders>
            <w:hideMark/>
          </w:tcPr>
          <w:p w14:paraId="335C41BC" w14:textId="57CB6FBA" w:rsidR="00182D9C" w:rsidRPr="0007358F" w:rsidRDefault="000D2578" w:rsidP="00CD46A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703</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405</w:t>
            </w:r>
          </w:p>
        </w:tc>
        <w:tc>
          <w:tcPr>
            <w:tcW w:w="597" w:type="pct"/>
            <w:tcBorders>
              <w:top w:val="outset" w:sz="6" w:space="0" w:color="414142"/>
              <w:left w:val="outset" w:sz="6" w:space="0" w:color="414142"/>
              <w:bottom w:val="outset" w:sz="6" w:space="0" w:color="414142"/>
              <w:right w:val="outset" w:sz="6" w:space="0" w:color="414142"/>
            </w:tcBorders>
          </w:tcPr>
          <w:p w14:paraId="335C41BD" w14:textId="793B1993" w:rsidR="00182D9C" w:rsidRPr="0007358F" w:rsidRDefault="000D2578" w:rsidP="00CD46A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703</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405</w:t>
            </w:r>
          </w:p>
        </w:tc>
        <w:tc>
          <w:tcPr>
            <w:tcW w:w="611" w:type="pct"/>
            <w:tcBorders>
              <w:top w:val="outset" w:sz="6" w:space="0" w:color="414142"/>
              <w:left w:val="outset" w:sz="6" w:space="0" w:color="414142"/>
              <w:bottom w:val="outset" w:sz="6" w:space="0" w:color="414142"/>
              <w:right w:val="outset" w:sz="6" w:space="0" w:color="414142"/>
            </w:tcBorders>
          </w:tcPr>
          <w:p w14:paraId="335C41BE" w14:textId="214D5D6F" w:rsidR="00182D9C" w:rsidRPr="0007358F" w:rsidRDefault="000D2578" w:rsidP="00CD46A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703</w:t>
            </w:r>
            <w:r w:rsidR="00C8728A">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405</w:t>
            </w:r>
          </w:p>
        </w:tc>
      </w:tr>
      <w:tr w:rsidR="00182D9C" w:rsidRPr="0007358F" w14:paraId="335C41C6" w14:textId="77777777" w:rsidTr="00FF74F5">
        <w:trPr>
          <w:gridBefore w:val="1"/>
          <w:wBefore w:w="7" w:type="pct"/>
        </w:trPr>
        <w:tc>
          <w:tcPr>
            <w:tcW w:w="1781" w:type="pct"/>
            <w:gridSpan w:val="2"/>
            <w:tcBorders>
              <w:top w:val="outset" w:sz="6" w:space="0" w:color="414142"/>
              <w:left w:val="outset" w:sz="6" w:space="0" w:color="414142"/>
              <w:bottom w:val="outset" w:sz="6" w:space="0" w:color="414142"/>
              <w:right w:val="outset" w:sz="6" w:space="0" w:color="414142"/>
            </w:tcBorders>
            <w:hideMark/>
          </w:tcPr>
          <w:p w14:paraId="335C41C0" w14:textId="77777777" w:rsidR="00182D9C" w:rsidRPr="0007358F" w:rsidRDefault="00182D9C"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lastRenderedPageBreak/>
              <w:t>5.2. speciālais budžets</w:t>
            </w:r>
          </w:p>
        </w:tc>
        <w:tc>
          <w:tcPr>
            <w:tcW w:w="664" w:type="pct"/>
            <w:vMerge/>
            <w:tcBorders>
              <w:top w:val="outset" w:sz="6" w:space="0" w:color="414142"/>
              <w:left w:val="outset" w:sz="6" w:space="0" w:color="414142"/>
              <w:bottom w:val="outset" w:sz="6" w:space="0" w:color="414142"/>
              <w:right w:val="outset" w:sz="6" w:space="0" w:color="414142"/>
            </w:tcBorders>
            <w:vAlign w:val="center"/>
            <w:hideMark/>
          </w:tcPr>
          <w:p w14:paraId="335C41C1" w14:textId="77777777" w:rsidR="00182D9C" w:rsidRPr="0007358F" w:rsidRDefault="00182D9C" w:rsidP="00CD46AC">
            <w:pPr>
              <w:spacing w:after="0" w:line="240" w:lineRule="auto"/>
              <w:rPr>
                <w:rFonts w:ascii="Times New Roman" w:eastAsia="Times New Roman" w:hAnsi="Times New Roman" w:cs="Times New Roman"/>
                <w:sz w:val="24"/>
                <w:szCs w:val="24"/>
                <w:lang w:eastAsia="lv-LV"/>
              </w:rPr>
            </w:pPr>
          </w:p>
        </w:tc>
        <w:tc>
          <w:tcPr>
            <w:tcW w:w="650" w:type="pct"/>
            <w:tcBorders>
              <w:top w:val="outset" w:sz="6" w:space="0" w:color="414142"/>
              <w:left w:val="outset" w:sz="6" w:space="0" w:color="414142"/>
              <w:bottom w:val="outset" w:sz="6" w:space="0" w:color="414142"/>
              <w:right w:val="outset" w:sz="6" w:space="0" w:color="414142"/>
            </w:tcBorders>
            <w:hideMark/>
          </w:tcPr>
          <w:p w14:paraId="335C41C2" w14:textId="77777777" w:rsidR="00182D9C" w:rsidRPr="0007358F" w:rsidRDefault="00182D9C" w:rsidP="00CD46AC">
            <w:pPr>
              <w:spacing w:after="0" w:line="240" w:lineRule="auto"/>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0</w:t>
            </w:r>
          </w:p>
        </w:tc>
        <w:tc>
          <w:tcPr>
            <w:tcW w:w="690" w:type="pct"/>
            <w:tcBorders>
              <w:top w:val="outset" w:sz="6" w:space="0" w:color="414142"/>
              <w:left w:val="outset" w:sz="6" w:space="0" w:color="414142"/>
              <w:bottom w:val="outset" w:sz="6" w:space="0" w:color="414142"/>
              <w:right w:val="outset" w:sz="6" w:space="0" w:color="414142"/>
            </w:tcBorders>
            <w:hideMark/>
          </w:tcPr>
          <w:p w14:paraId="335C41C3" w14:textId="77777777" w:rsidR="00182D9C" w:rsidRPr="0007358F" w:rsidRDefault="00182D9C" w:rsidP="00CD46AC">
            <w:pPr>
              <w:spacing w:after="0" w:line="240" w:lineRule="auto"/>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0</w:t>
            </w:r>
          </w:p>
        </w:tc>
        <w:tc>
          <w:tcPr>
            <w:tcW w:w="597" w:type="pct"/>
            <w:tcBorders>
              <w:top w:val="outset" w:sz="6" w:space="0" w:color="414142"/>
              <w:left w:val="outset" w:sz="6" w:space="0" w:color="414142"/>
              <w:bottom w:val="outset" w:sz="6" w:space="0" w:color="414142"/>
              <w:right w:val="outset" w:sz="6" w:space="0" w:color="414142"/>
            </w:tcBorders>
            <w:hideMark/>
          </w:tcPr>
          <w:p w14:paraId="335C41C4" w14:textId="77777777" w:rsidR="00182D9C" w:rsidRPr="0007358F" w:rsidRDefault="00182D9C" w:rsidP="00CD46AC">
            <w:pPr>
              <w:spacing w:after="0" w:line="240" w:lineRule="auto"/>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0</w:t>
            </w:r>
          </w:p>
        </w:tc>
        <w:tc>
          <w:tcPr>
            <w:tcW w:w="611" w:type="pct"/>
            <w:tcBorders>
              <w:top w:val="outset" w:sz="6" w:space="0" w:color="414142"/>
              <w:left w:val="outset" w:sz="6" w:space="0" w:color="414142"/>
              <w:bottom w:val="outset" w:sz="6" w:space="0" w:color="414142"/>
              <w:right w:val="outset" w:sz="6" w:space="0" w:color="414142"/>
            </w:tcBorders>
            <w:hideMark/>
          </w:tcPr>
          <w:p w14:paraId="335C41C5" w14:textId="77777777" w:rsidR="00182D9C" w:rsidRPr="0007358F" w:rsidRDefault="00182D9C" w:rsidP="00CD46AC">
            <w:pPr>
              <w:spacing w:after="0" w:line="240" w:lineRule="auto"/>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0</w:t>
            </w:r>
          </w:p>
        </w:tc>
      </w:tr>
      <w:tr w:rsidR="00182D9C" w:rsidRPr="0007358F" w14:paraId="335C41CD" w14:textId="77777777" w:rsidTr="00FF74F5">
        <w:trPr>
          <w:gridBefore w:val="1"/>
          <w:wBefore w:w="7" w:type="pct"/>
        </w:trPr>
        <w:tc>
          <w:tcPr>
            <w:tcW w:w="1781" w:type="pct"/>
            <w:gridSpan w:val="2"/>
            <w:tcBorders>
              <w:top w:val="outset" w:sz="6" w:space="0" w:color="414142"/>
              <w:left w:val="outset" w:sz="6" w:space="0" w:color="414142"/>
              <w:bottom w:val="outset" w:sz="6" w:space="0" w:color="414142"/>
              <w:right w:val="outset" w:sz="6" w:space="0" w:color="414142"/>
            </w:tcBorders>
            <w:hideMark/>
          </w:tcPr>
          <w:p w14:paraId="335C41C7" w14:textId="77777777" w:rsidR="00182D9C" w:rsidRPr="0007358F" w:rsidRDefault="00182D9C"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5.3. pašvaldību budžets</w:t>
            </w:r>
          </w:p>
        </w:tc>
        <w:tc>
          <w:tcPr>
            <w:tcW w:w="664" w:type="pct"/>
            <w:vMerge/>
            <w:tcBorders>
              <w:top w:val="outset" w:sz="6" w:space="0" w:color="414142"/>
              <w:left w:val="outset" w:sz="6" w:space="0" w:color="414142"/>
              <w:bottom w:val="outset" w:sz="6" w:space="0" w:color="414142"/>
              <w:right w:val="outset" w:sz="6" w:space="0" w:color="414142"/>
            </w:tcBorders>
            <w:vAlign w:val="center"/>
            <w:hideMark/>
          </w:tcPr>
          <w:p w14:paraId="335C41C8" w14:textId="77777777" w:rsidR="00182D9C" w:rsidRPr="0007358F" w:rsidRDefault="00182D9C" w:rsidP="00CD46AC">
            <w:pPr>
              <w:spacing w:after="0" w:line="240" w:lineRule="auto"/>
              <w:rPr>
                <w:rFonts w:ascii="Times New Roman" w:eastAsia="Times New Roman" w:hAnsi="Times New Roman" w:cs="Times New Roman"/>
                <w:sz w:val="24"/>
                <w:szCs w:val="24"/>
                <w:lang w:eastAsia="lv-LV"/>
              </w:rPr>
            </w:pPr>
          </w:p>
        </w:tc>
        <w:tc>
          <w:tcPr>
            <w:tcW w:w="650" w:type="pct"/>
            <w:tcBorders>
              <w:top w:val="outset" w:sz="6" w:space="0" w:color="414142"/>
              <w:left w:val="outset" w:sz="6" w:space="0" w:color="414142"/>
              <w:bottom w:val="outset" w:sz="6" w:space="0" w:color="414142"/>
              <w:right w:val="outset" w:sz="6" w:space="0" w:color="414142"/>
            </w:tcBorders>
            <w:hideMark/>
          </w:tcPr>
          <w:p w14:paraId="335C41C9" w14:textId="77777777" w:rsidR="00182D9C" w:rsidRPr="0007358F" w:rsidRDefault="00182D9C" w:rsidP="00CD46AC">
            <w:pPr>
              <w:spacing w:after="0" w:line="240" w:lineRule="auto"/>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0</w:t>
            </w:r>
          </w:p>
        </w:tc>
        <w:tc>
          <w:tcPr>
            <w:tcW w:w="690" w:type="pct"/>
            <w:tcBorders>
              <w:top w:val="outset" w:sz="6" w:space="0" w:color="414142"/>
              <w:left w:val="outset" w:sz="6" w:space="0" w:color="414142"/>
              <w:bottom w:val="outset" w:sz="6" w:space="0" w:color="414142"/>
              <w:right w:val="outset" w:sz="6" w:space="0" w:color="414142"/>
            </w:tcBorders>
            <w:hideMark/>
          </w:tcPr>
          <w:p w14:paraId="335C41CA" w14:textId="77777777" w:rsidR="00182D9C" w:rsidRPr="0007358F" w:rsidRDefault="00182D9C" w:rsidP="00CD46AC">
            <w:pPr>
              <w:spacing w:after="0" w:line="240" w:lineRule="auto"/>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0</w:t>
            </w:r>
          </w:p>
        </w:tc>
        <w:tc>
          <w:tcPr>
            <w:tcW w:w="597" w:type="pct"/>
            <w:tcBorders>
              <w:top w:val="outset" w:sz="6" w:space="0" w:color="414142"/>
              <w:left w:val="outset" w:sz="6" w:space="0" w:color="414142"/>
              <w:bottom w:val="outset" w:sz="6" w:space="0" w:color="414142"/>
              <w:right w:val="outset" w:sz="6" w:space="0" w:color="414142"/>
            </w:tcBorders>
            <w:hideMark/>
          </w:tcPr>
          <w:p w14:paraId="335C41CB" w14:textId="77777777" w:rsidR="00182D9C" w:rsidRPr="0007358F" w:rsidRDefault="00182D9C" w:rsidP="00CD46AC">
            <w:pPr>
              <w:spacing w:after="0" w:line="240" w:lineRule="auto"/>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0</w:t>
            </w:r>
          </w:p>
        </w:tc>
        <w:tc>
          <w:tcPr>
            <w:tcW w:w="611" w:type="pct"/>
            <w:tcBorders>
              <w:top w:val="outset" w:sz="6" w:space="0" w:color="414142"/>
              <w:left w:val="outset" w:sz="6" w:space="0" w:color="414142"/>
              <w:bottom w:val="outset" w:sz="6" w:space="0" w:color="414142"/>
              <w:right w:val="outset" w:sz="6" w:space="0" w:color="414142"/>
            </w:tcBorders>
            <w:hideMark/>
          </w:tcPr>
          <w:p w14:paraId="335C41CC" w14:textId="77777777" w:rsidR="00182D9C" w:rsidRPr="0007358F" w:rsidRDefault="00182D9C" w:rsidP="00CD46AC">
            <w:pPr>
              <w:spacing w:after="0" w:line="240" w:lineRule="auto"/>
              <w:jc w:val="center"/>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0</w:t>
            </w:r>
          </w:p>
        </w:tc>
      </w:tr>
      <w:tr w:rsidR="00182D9C" w:rsidRPr="0007358F" w14:paraId="335C41EC" w14:textId="77777777" w:rsidTr="00FF74F5">
        <w:trPr>
          <w:gridBefore w:val="1"/>
          <w:wBefore w:w="7" w:type="pct"/>
        </w:trPr>
        <w:tc>
          <w:tcPr>
            <w:tcW w:w="1781" w:type="pct"/>
            <w:gridSpan w:val="2"/>
            <w:tcBorders>
              <w:top w:val="outset" w:sz="6" w:space="0" w:color="414142"/>
              <w:left w:val="outset" w:sz="6" w:space="0" w:color="414142"/>
              <w:bottom w:val="outset" w:sz="6" w:space="0" w:color="414142"/>
              <w:right w:val="outset" w:sz="6" w:space="0" w:color="414142"/>
            </w:tcBorders>
            <w:hideMark/>
          </w:tcPr>
          <w:p w14:paraId="335C41CE" w14:textId="77777777" w:rsidR="00182D9C" w:rsidRPr="0007358F" w:rsidRDefault="00182D9C"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6. Detalizēts ieņēmumu un izdevumu aprēķins (ja nepieciešams, detalizētu ieņēmumu un izdevumu aprēķinu var pievienot anotācijas pielikumā):</w:t>
            </w:r>
          </w:p>
        </w:tc>
        <w:tc>
          <w:tcPr>
            <w:tcW w:w="3212" w:type="pct"/>
            <w:gridSpan w:val="5"/>
            <w:vMerge w:val="restart"/>
            <w:tcBorders>
              <w:top w:val="outset" w:sz="6" w:space="0" w:color="414142"/>
              <w:left w:val="outset" w:sz="6" w:space="0" w:color="414142"/>
              <w:bottom w:val="outset" w:sz="6" w:space="0" w:color="414142"/>
              <w:right w:val="outset" w:sz="6" w:space="0" w:color="414142"/>
            </w:tcBorders>
            <w:vAlign w:val="center"/>
            <w:hideMark/>
          </w:tcPr>
          <w:p w14:paraId="63871B81" w14:textId="295F8487" w:rsidR="00C8728A" w:rsidRDefault="00C8728A" w:rsidP="00C8728A">
            <w:pPr>
              <w:pStyle w:val="Sarakstarindkopa"/>
              <w:spacing w:after="0" w:line="240" w:lineRule="auto"/>
              <w:ind w:left="0"/>
              <w:jc w:val="both"/>
              <w:rPr>
                <w:rFonts w:ascii="Times New Roman" w:eastAsia="Times New Roman" w:hAnsi="Times New Roman" w:cs="Times New Roman"/>
                <w:bCs/>
                <w:color w:val="000000" w:themeColor="text1"/>
                <w:sz w:val="24"/>
                <w:szCs w:val="24"/>
              </w:rPr>
            </w:pPr>
            <w:r w:rsidRPr="00270B11">
              <w:rPr>
                <w:rFonts w:ascii="Times New Roman" w:hAnsi="Times New Roman" w:cs="Times New Roman"/>
                <w:sz w:val="24"/>
                <w:szCs w:val="24"/>
              </w:rPr>
              <w:t xml:space="preserve">Nosakot tiesības UR atteikt ieraksta izdarīšanu komercreģistrā, </w:t>
            </w:r>
            <w:r w:rsidR="0081696E" w:rsidRPr="00270B11">
              <w:rPr>
                <w:rFonts w:ascii="Times New Roman" w:hAnsi="Times New Roman" w:cs="Times New Roman"/>
                <w:sz w:val="24"/>
                <w:szCs w:val="24"/>
              </w:rPr>
              <w:t>pamatojoties uz kompetentas iestādes negatīvu atzinumu</w:t>
            </w:r>
            <w:r w:rsidRPr="00270B11">
              <w:rPr>
                <w:rFonts w:ascii="Times New Roman" w:hAnsi="Times New Roman" w:cs="Times New Roman"/>
                <w:sz w:val="24"/>
                <w:szCs w:val="24"/>
              </w:rPr>
              <w:t>, samazināsies</w:t>
            </w:r>
            <w:r w:rsidR="002C65D9">
              <w:rPr>
                <w:rFonts w:ascii="Times New Roman" w:hAnsi="Times New Roman" w:cs="Times New Roman"/>
                <w:sz w:val="24"/>
                <w:szCs w:val="24"/>
              </w:rPr>
              <w:t xml:space="preserve"> gadījumu skaits, kad notiek</w:t>
            </w:r>
            <w:r w:rsidRPr="00270B11">
              <w:rPr>
                <w:rFonts w:ascii="Times New Roman" w:hAnsi="Times New Roman" w:cs="Times New Roman"/>
                <w:sz w:val="24"/>
                <w:szCs w:val="24"/>
              </w:rPr>
              <w:t xml:space="preserve"> izvairīšan</w:t>
            </w:r>
            <w:r w:rsidR="002C65D9">
              <w:rPr>
                <w:rFonts w:ascii="Times New Roman" w:hAnsi="Times New Roman" w:cs="Times New Roman"/>
                <w:sz w:val="24"/>
                <w:szCs w:val="24"/>
              </w:rPr>
              <w:t>ā</w:t>
            </w:r>
            <w:r w:rsidRPr="00270B11">
              <w:rPr>
                <w:rFonts w:ascii="Times New Roman" w:hAnsi="Times New Roman" w:cs="Times New Roman"/>
                <w:sz w:val="24"/>
                <w:szCs w:val="24"/>
              </w:rPr>
              <w:t xml:space="preserve">s no nodokļu nomaksas. </w:t>
            </w:r>
            <w:r w:rsidR="0081696E" w:rsidRPr="00270B11">
              <w:rPr>
                <w:rFonts w:ascii="Times New Roman" w:hAnsi="Times New Roman" w:cs="Times New Roman"/>
                <w:sz w:val="24"/>
                <w:szCs w:val="24"/>
              </w:rPr>
              <w:t>Līdz ar to, atbilstoši Finanšu ministrijas sniegtajai informācijai f</w:t>
            </w:r>
            <w:r w:rsidRPr="00270B11">
              <w:rPr>
                <w:rFonts w:ascii="Times New Roman" w:eastAsia="Times New Roman" w:hAnsi="Times New Roman" w:cs="Times New Roman"/>
                <w:bCs/>
                <w:sz w:val="24"/>
                <w:szCs w:val="24"/>
              </w:rPr>
              <w:t xml:space="preserve">iskālā ietekme valsts pamatbudžetam – </w:t>
            </w:r>
            <w:r w:rsidR="002C65D9">
              <w:rPr>
                <w:rFonts w:ascii="Times New Roman" w:eastAsia="Times New Roman" w:hAnsi="Times New Roman" w:cs="Times New Roman"/>
                <w:bCs/>
                <w:sz w:val="24"/>
                <w:szCs w:val="24"/>
              </w:rPr>
              <w:t>pievienotās vērtības nodokļa (turpmāk – PVN)</w:t>
            </w:r>
            <w:r w:rsidRPr="00270B11">
              <w:rPr>
                <w:rFonts w:ascii="Times New Roman" w:eastAsia="Times New Roman" w:hAnsi="Times New Roman" w:cs="Times New Roman"/>
                <w:bCs/>
                <w:sz w:val="24"/>
                <w:szCs w:val="24"/>
              </w:rPr>
              <w:t xml:space="preserve"> ieņēmumiem ir </w:t>
            </w:r>
            <w:r w:rsidRPr="002C65D9">
              <w:rPr>
                <w:rFonts w:ascii="Times New Roman" w:eastAsia="Times New Roman" w:hAnsi="Times New Roman" w:cs="Times New Roman"/>
                <w:bCs/>
                <w:sz w:val="24"/>
                <w:szCs w:val="24"/>
              </w:rPr>
              <w:t xml:space="preserve">aprēķināta, ņemot </w:t>
            </w:r>
            <w:r w:rsidRPr="00A7675C">
              <w:rPr>
                <w:rFonts w:ascii="Times New Roman" w:eastAsia="Times New Roman" w:hAnsi="Times New Roman" w:cs="Times New Roman"/>
                <w:bCs/>
                <w:color w:val="000000" w:themeColor="text1"/>
                <w:sz w:val="24"/>
                <w:szCs w:val="24"/>
              </w:rPr>
              <w:t xml:space="preserve">vērā </w:t>
            </w:r>
            <w:r w:rsidRPr="00B82281">
              <w:rPr>
                <w:rFonts w:ascii="Times New Roman" w:eastAsia="Times New Roman" w:hAnsi="Times New Roman" w:cs="Times New Roman"/>
                <w:bCs/>
                <w:color w:val="000000" w:themeColor="text1"/>
                <w:sz w:val="24"/>
                <w:szCs w:val="24"/>
              </w:rPr>
              <w:t>PVN likuma grozījumu stāšanos spēkā 2017.gada 1.janvārī</w:t>
            </w:r>
            <w:r w:rsidRPr="00A7675C">
              <w:rPr>
                <w:rFonts w:ascii="Times New Roman" w:eastAsia="Times New Roman" w:hAnsi="Times New Roman" w:cs="Times New Roman"/>
                <w:bCs/>
                <w:color w:val="000000" w:themeColor="text1"/>
                <w:sz w:val="24"/>
                <w:szCs w:val="24"/>
              </w:rPr>
              <w:t xml:space="preserve"> un tā</w:t>
            </w:r>
            <w:r>
              <w:rPr>
                <w:rFonts w:ascii="Times New Roman" w:eastAsia="Times New Roman" w:hAnsi="Times New Roman" w:cs="Times New Roman"/>
                <w:bCs/>
                <w:color w:val="000000" w:themeColor="text1"/>
                <w:sz w:val="24"/>
                <w:szCs w:val="24"/>
              </w:rPr>
              <w:t xml:space="preserve"> 2017.– 2019. gadā ir 3,8 milj. </w:t>
            </w:r>
            <w:r w:rsidRPr="00564055">
              <w:rPr>
                <w:rFonts w:ascii="Times New Roman" w:eastAsia="Times New Roman" w:hAnsi="Times New Roman" w:cs="Times New Roman"/>
                <w:bCs/>
                <w:i/>
                <w:color w:val="000000" w:themeColor="text1"/>
                <w:sz w:val="24"/>
                <w:szCs w:val="24"/>
              </w:rPr>
              <w:t>euro</w:t>
            </w:r>
            <w:r>
              <w:rPr>
                <w:rFonts w:ascii="Times New Roman" w:eastAsia="Times New Roman" w:hAnsi="Times New Roman" w:cs="Times New Roman"/>
                <w:bCs/>
                <w:i/>
                <w:color w:val="000000" w:themeColor="text1"/>
                <w:sz w:val="24"/>
                <w:szCs w:val="24"/>
              </w:rPr>
              <w:t xml:space="preserve"> </w:t>
            </w:r>
            <w:r w:rsidRPr="001200B8">
              <w:rPr>
                <w:rFonts w:ascii="Times New Roman" w:eastAsia="Times New Roman" w:hAnsi="Times New Roman" w:cs="Times New Roman"/>
                <w:bCs/>
                <w:color w:val="000000" w:themeColor="text1"/>
                <w:sz w:val="24"/>
                <w:szCs w:val="24"/>
              </w:rPr>
              <w:t>gadā</w:t>
            </w:r>
            <w:r>
              <w:rPr>
                <w:rFonts w:ascii="Times New Roman" w:eastAsia="Times New Roman" w:hAnsi="Times New Roman" w:cs="Times New Roman"/>
                <w:bCs/>
                <w:i/>
                <w:color w:val="000000" w:themeColor="text1"/>
                <w:sz w:val="24"/>
                <w:szCs w:val="24"/>
              </w:rPr>
              <w:t>.</w:t>
            </w:r>
          </w:p>
          <w:p w14:paraId="51370472" w14:textId="77777777" w:rsidR="00C8728A" w:rsidRDefault="00C8728A" w:rsidP="00C8728A">
            <w:pPr>
              <w:spacing w:after="0" w:line="240" w:lineRule="auto"/>
              <w:jc w:val="both"/>
              <w:rPr>
                <w:rFonts w:ascii="Times New Roman" w:eastAsia="Times New Roman" w:hAnsi="Times New Roman" w:cs="Times New Roman"/>
                <w:bCs/>
                <w:color w:val="000000" w:themeColor="text1"/>
                <w:sz w:val="24"/>
                <w:szCs w:val="24"/>
              </w:rPr>
            </w:pPr>
            <w:r w:rsidRPr="00A7675C">
              <w:rPr>
                <w:rFonts w:ascii="Times New Roman" w:eastAsia="Times New Roman" w:hAnsi="Times New Roman" w:cs="Times New Roman"/>
                <w:bCs/>
                <w:color w:val="000000" w:themeColor="text1"/>
                <w:sz w:val="24"/>
                <w:szCs w:val="24"/>
              </w:rPr>
              <w:t>Ietekme uz valsts budžetu (PVN ieņēmumiem) ir aprēķināta, ņemot vērā:</w:t>
            </w:r>
          </w:p>
          <w:p w14:paraId="46B2686C" w14:textId="77777777" w:rsidR="00C8728A" w:rsidRPr="00C06E80" w:rsidRDefault="00C8728A" w:rsidP="00C8728A">
            <w:pPr>
              <w:pStyle w:val="Sarakstarindkopa"/>
              <w:numPr>
                <w:ilvl w:val="0"/>
                <w:numId w:val="7"/>
              </w:numPr>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komercsabiedrību, kuru amatpersonas bija ārvalstu personas, kam bija atņemtas tiesības ieņemt </w:t>
            </w:r>
            <w:r w:rsidRPr="00DB083D">
              <w:rPr>
                <w:rFonts w:ascii="Times New Roman" w:hAnsi="Times New Roman" w:cs="Times New Roman"/>
                <w:color w:val="000000" w:themeColor="text1"/>
                <w:sz w:val="24"/>
                <w:szCs w:val="24"/>
              </w:rPr>
              <w:t>noteiktus amatus komercsabiedrībās</w:t>
            </w:r>
            <w:r>
              <w:rPr>
                <w:rFonts w:ascii="Times New Roman" w:hAnsi="Times New Roman" w:cs="Times New Roman"/>
                <w:color w:val="000000" w:themeColor="text1"/>
                <w:sz w:val="24"/>
                <w:szCs w:val="24"/>
              </w:rPr>
              <w:t xml:space="preserve">, kopējo darījumu vērtību 2015. gadā – 909,9 milj. </w:t>
            </w:r>
            <w:r w:rsidRPr="00C06E80">
              <w:rPr>
                <w:rFonts w:ascii="Times New Roman" w:hAnsi="Times New Roman" w:cs="Times New Roman"/>
                <w:i/>
                <w:color w:val="000000" w:themeColor="text1"/>
                <w:sz w:val="24"/>
                <w:szCs w:val="24"/>
              </w:rPr>
              <w:t>euro</w:t>
            </w:r>
            <w:r>
              <w:rPr>
                <w:rFonts w:ascii="Times New Roman" w:hAnsi="Times New Roman" w:cs="Times New Roman"/>
                <w:color w:val="000000" w:themeColor="text1"/>
                <w:sz w:val="24"/>
                <w:szCs w:val="24"/>
              </w:rPr>
              <w:t>. Saskaņā ar VID sniegto informāciju 2015. gadā</w:t>
            </w:r>
            <w:r w:rsidRPr="00DB083D">
              <w:rPr>
                <w:rFonts w:ascii="Times New Roman" w:hAnsi="Times New Roman" w:cs="Times New Roman"/>
                <w:color w:val="000000" w:themeColor="text1"/>
                <w:sz w:val="24"/>
                <w:szCs w:val="24"/>
              </w:rPr>
              <w:t xml:space="preserve"> un 2016.gada četros mēnešos attiecībā uz 613 ārvalstu personām ir pieņemti administratīvā pārkāpuma lēmumi, piemērojot administratīvo papildsodu – tiesību atņemšana ieņemt noteiktus amatus komercsabiedrībās. Minētās ārvalstu personas uz lēmuma pieņemšanas dienu ir bijušas amatpersonas 1</w:t>
            </w:r>
            <w:r>
              <w:rPr>
                <w:rFonts w:ascii="Times New Roman" w:hAnsi="Times New Roman" w:cs="Times New Roman"/>
                <w:color w:val="000000" w:themeColor="text1"/>
                <w:sz w:val="24"/>
                <w:szCs w:val="24"/>
              </w:rPr>
              <w:t> </w:t>
            </w:r>
            <w:r w:rsidRPr="00DB083D">
              <w:rPr>
                <w:rFonts w:ascii="Times New Roman" w:hAnsi="Times New Roman" w:cs="Times New Roman"/>
                <w:color w:val="000000" w:themeColor="text1"/>
                <w:sz w:val="24"/>
                <w:szCs w:val="24"/>
              </w:rPr>
              <w:t>058 komercsabiedrībās</w:t>
            </w:r>
            <w:r>
              <w:rPr>
                <w:rFonts w:ascii="Times New Roman" w:hAnsi="Times New Roman" w:cs="Times New Roman"/>
                <w:color w:val="000000" w:themeColor="text1"/>
                <w:sz w:val="24"/>
                <w:szCs w:val="24"/>
              </w:rPr>
              <w:t xml:space="preserve">, kuru </w:t>
            </w:r>
            <w:r w:rsidRPr="00DB083D">
              <w:rPr>
                <w:rFonts w:ascii="Times New Roman" w:hAnsi="Times New Roman" w:cs="Times New Roman"/>
                <w:color w:val="000000" w:themeColor="text1"/>
                <w:sz w:val="24"/>
                <w:szCs w:val="24"/>
              </w:rPr>
              <w:t xml:space="preserve">kopējā darījumu vērtība </w:t>
            </w:r>
            <w:r>
              <w:rPr>
                <w:rFonts w:ascii="Times New Roman" w:hAnsi="Times New Roman" w:cs="Times New Roman"/>
                <w:color w:val="000000" w:themeColor="text1"/>
                <w:sz w:val="24"/>
                <w:szCs w:val="24"/>
              </w:rPr>
              <w:t>PVN</w:t>
            </w:r>
            <w:r w:rsidRPr="00DB083D">
              <w:rPr>
                <w:rFonts w:ascii="Times New Roman" w:hAnsi="Times New Roman" w:cs="Times New Roman"/>
                <w:color w:val="000000" w:themeColor="text1"/>
                <w:sz w:val="24"/>
                <w:szCs w:val="24"/>
              </w:rPr>
              <w:t xml:space="preserve"> deklarācijās 2015.gadā bija 909,9 </w:t>
            </w:r>
            <w:proofErr w:type="spellStart"/>
            <w:r w:rsidRPr="00DB083D">
              <w:rPr>
                <w:rFonts w:ascii="Times New Roman" w:hAnsi="Times New Roman" w:cs="Times New Roman"/>
                <w:color w:val="000000" w:themeColor="text1"/>
                <w:sz w:val="24"/>
                <w:szCs w:val="24"/>
              </w:rPr>
              <w:t>milj</w:t>
            </w:r>
            <w:proofErr w:type="spellEnd"/>
            <w:r w:rsidRPr="00DB083D">
              <w:rPr>
                <w:rFonts w:ascii="Times New Roman" w:hAnsi="Times New Roman" w:cs="Times New Roman"/>
                <w:color w:val="000000" w:themeColor="text1"/>
                <w:sz w:val="24"/>
                <w:szCs w:val="24"/>
              </w:rPr>
              <w:t xml:space="preserve"> </w:t>
            </w:r>
            <w:r w:rsidRPr="00C06E80">
              <w:rPr>
                <w:rFonts w:ascii="Times New Roman" w:hAnsi="Times New Roman" w:cs="Times New Roman"/>
                <w:i/>
                <w:color w:val="000000" w:themeColor="text1"/>
                <w:sz w:val="24"/>
                <w:szCs w:val="24"/>
              </w:rPr>
              <w:t>euro</w:t>
            </w:r>
            <w:r>
              <w:rPr>
                <w:rFonts w:ascii="Times New Roman" w:hAnsi="Times New Roman" w:cs="Times New Roman"/>
                <w:color w:val="000000" w:themeColor="text1"/>
                <w:sz w:val="24"/>
                <w:szCs w:val="24"/>
              </w:rPr>
              <w:t>;</w:t>
            </w:r>
          </w:p>
          <w:p w14:paraId="455CDD5D" w14:textId="77777777" w:rsidR="00C8728A" w:rsidRDefault="00C8728A" w:rsidP="00C8728A">
            <w:pPr>
              <w:pStyle w:val="Sarakstarindkopa"/>
              <w:numPr>
                <w:ilvl w:val="0"/>
                <w:numId w:val="7"/>
              </w:numPr>
              <w:spacing w:after="0" w:line="240" w:lineRule="auto"/>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pieņēmumu, ka 2% no aprēķinātā PVN tiks nomaksāti.</w:t>
            </w:r>
          </w:p>
          <w:p w14:paraId="16A5025E" w14:textId="77777777" w:rsidR="00C8728A" w:rsidRPr="00A7675C" w:rsidRDefault="00C8728A" w:rsidP="002C65D9">
            <w:pPr>
              <w:spacing w:after="0" w:line="240" w:lineRule="auto"/>
              <w:ind w:firstLine="720"/>
              <w:jc w:val="both"/>
              <w:rPr>
                <w:rFonts w:ascii="Times New Roman" w:eastAsia="Times New Roman" w:hAnsi="Times New Roman" w:cs="Times New Roman"/>
                <w:bCs/>
                <w:color w:val="000000" w:themeColor="text1"/>
                <w:sz w:val="24"/>
                <w:szCs w:val="24"/>
              </w:rPr>
            </w:pPr>
            <w:r w:rsidRPr="00A7675C">
              <w:rPr>
                <w:rFonts w:ascii="Times New Roman" w:eastAsia="Times New Roman" w:hAnsi="Times New Roman" w:cs="Times New Roman"/>
                <w:bCs/>
                <w:color w:val="000000" w:themeColor="text1"/>
                <w:sz w:val="24"/>
                <w:szCs w:val="24"/>
              </w:rPr>
              <w:t>Fiskālā ietekme tiek aprēķināta p</w:t>
            </w:r>
            <w:r>
              <w:rPr>
                <w:rFonts w:ascii="Times New Roman" w:eastAsia="Times New Roman" w:hAnsi="Times New Roman" w:cs="Times New Roman"/>
                <w:bCs/>
                <w:color w:val="000000" w:themeColor="text1"/>
                <w:sz w:val="24"/>
                <w:szCs w:val="24"/>
              </w:rPr>
              <w:t xml:space="preserve">ēc šāda algoritma: 900 milj. </w:t>
            </w:r>
            <w:r w:rsidRPr="002C65D9">
              <w:rPr>
                <w:rFonts w:ascii="Times New Roman" w:eastAsia="Times New Roman" w:hAnsi="Times New Roman" w:cs="Times New Roman"/>
                <w:bCs/>
                <w:i/>
                <w:color w:val="000000" w:themeColor="text1"/>
                <w:sz w:val="24"/>
                <w:szCs w:val="24"/>
              </w:rPr>
              <w:t>euro</w:t>
            </w:r>
            <w:r>
              <w:rPr>
                <w:rFonts w:ascii="Times New Roman" w:eastAsia="Times New Roman" w:hAnsi="Times New Roman" w:cs="Times New Roman"/>
                <w:bCs/>
                <w:color w:val="000000" w:themeColor="text1"/>
                <w:sz w:val="24"/>
                <w:szCs w:val="24"/>
              </w:rPr>
              <w:t xml:space="preserve"> x 21% x 2% = 3,8 milj. </w:t>
            </w:r>
            <w:r w:rsidRPr="002C65D9">
              <w:rPr>
                <w:rFonts w:ascii="Times New Roman" w:eastAsia="Times New Roman" w:hAnsi="Times New Roman" w:cs="Times New Roman"/>
                <w:bCs/>
                <w:i/>
                <w:color w:val="000000" w:themeColor="text1"/>
                <w:sz w:val="24"/>
                <w:szCs w:val="24"/>
              </w:rPr>
              <w:t>euro</w:t>
            </w:r>
            <w:r>
              <w:rPr>
                <w:rFonts w:ascii="Times New Roman" w:eastAsia="Times New Roman" w:hAnsi="Times New Roman" w:cs="Times New Roman"/>
                <w:bCs/>
                <w:color w:val="000000" w:themeColor="text1"/>
                <w:sz w:val="24"/>
                <w:szCs w:val="24"/>
              </w:rPr>
              <w:t>.</w:t>
            </w:r>
          </w:p>
          <w:p w14:paraId="02107E15" w14:textId="77777777" w:rsidR="002C65D9" w:rsidRDefault="00C8728A" w:rsidP="002C65D9">
            <w:pPr>
              <w:spacing w:after="0" w:line="240" w:lineRule="auto"/>
              <w:ind w:firstLine="720"/>
              <w:jc w:val="both"/>
              <w:rPr>
                <w:rFonts w:ascii="Times New Roman" w:eastAsia="Times New Roman" w:hAnsi="Times New Roman" w:cs="Times New Roman"/>
                <w:sz w:val="24"/>
                <w:szCs w:val="24"/>
                <w:lang w:eastAsia="lv-LV"/>
              </w:rPr>
            </w:pPr>
            <w:r w:rsidRPr="00C06E80">
              <w:rPr>
                <w:rFonts w:ascii="Times New Roman" w:eastAsia="Times New Roman" w:hAnsi="Times New Roman" w:cs="Times New Roman"/>
                <w:bCs/>
                <w:color w:val="000000" w:themeColor="text1"/>
                <w:sz w:val="24"/>
                <w:szCs w:val="24"/>
              </w:rPr>
              <w:t xml:space="preserve">Pamatojoties uz Ministru kabineta 2016. gada </w:t>
            </w:r>
            <w:r>
              <w:rPr>
                <w:rFonts w:ascii="Times New Roman" w:eastAsia="Times New Roman" w:hAnsi="Times New Roman" w:cs="Times New Roman"/>
                <w:bCs/>
                <w:color w:val="000000" w:themeColor="text1"/>
                <w:sz w:val="24"/>
                <w:szCs w:val="24"/>
              </w:rPr>
              <w:t>2</w:t>
            </w:r>
            <w:r w:rsidRPr="00C06E80">
              <w:rPr>
                <w:rFonts w:ascii="Times New Roman" w:eastAsia="Times New Roman" w:hAnsi="Times New Roman" w:cs="Times New Roman"/>
                <w:bCs/>
                <w:color w:val="000000" w:themeColor="text1"/>
                <w:sz w:val="24"/>
                <w:szCs w:val="24"/>
              </w:rPr>
              <w:t>. augusta sēdē atbalstīto informatīvo ziņojumu "Par iespējām palielināt i</w:t>
            </w:r>
            <w:r>
              <w:rPr>
                <w:rFonts w:ascii="Times New Roman" w:eastAsia="Times New Roman" w:hAnsi="Times New Roman" w:cs="Times New Roman"/>
                <w:bCs/>
                <w:color w:val="000000" w:themeColor="text1"/>
                <w:sz w:val="24"/>
                <w:szCs w:val="24"/>
              </w:rPr>
              <w:t>eņēmumus" (</w:t>
            </w:r>
            <w:proofErr w:type="spellStart"/>
            <w:r>
              <w:rPr>
                <w:rFonts w:ascii="Times New Roman" w:eastAsia="Times New Roman" w:hAnsi="Times New Roman" w:cs="Times New Roman"/>
                <w:bCs/>
                <w:color w:val="000000" w:themeColor="text1"/>
                <w:sz w:val="24"/>
                <w:szCs w:val="24"/>
              </w:rPr>
              <w:t>protokollēmums</w:t>
            </w:r>
            <w:proofErr w:type="spellEnd"/>
            <w:r>
              <w:rPr>
                <w:rFonts w:ascii="Times New Roman" w:eastAsia="Times New Roman" w:hAnsi="Times New Roman" w:cs="Times New Roman"/>
                <w:bCs/>
                <w:color w:val="000000" w:themeColor="text1"/>
                <w:sz w:val="24"/>
                <w:szCs w:val="24"/>
              </w:rPr>
              <w:t xml:space="preserve"> Nr. 38  49</w:t>
            </w:r>
            <w:r w:rsidRPr="00C06E80">
              <w:rPr>
                <w:rFonts w:ascii="Times New Roman" w:eastAsia="Times New Roman" w:hAnsi="Times New Roman" w:cs="Times New Roman"/>
                <w:bCs/>
                <w:color w:val="000000" w:themeColor="text1"/>
                <w:sz w:val="24"/>
                <w:szCs w:val="24"/>
              </w:rPr>
              <w:t>.§), fiskālā ietekme ir iekļauta nodokļu ieņēmumu prognozēs</w:t>
            </w:r>
            <w:r w:rsidR="002C65D9">
              <w:rPr>
                <w:rFonts w:ascii="Times New Roman" w:eastAsia="Times New Roman" w:hAnsi="Times New Roman" w:cs="Times New Roman"/>
                <w:sz w:val="24"/>
                <w:szCs w:val="24"/>
                <w:lang w:eastAsia="lv-LV"/>
              </w:rPr>
              <w:t>.</w:t>
            </w:r>
          </w:p>
          <w:p w14:paraId="4CA89466" w14:textId="77777777" w:rsidR="002C65D9" w:rsidRDefault="00182D9C" w:rsidP="002C65D9">
            <w:pPr>
              <w:spacing w:after="0" w:line="240" w:lineRule="auto"/>
              <w:ind w:firstLine="720"/>
              <w:jc w:val="both"/>
              <w:rPr>
                <w:rFonts w:ascii="Times New Roman" w:eastAsia="Times New Roman" w:hAnsi="Times New Roman" w:cs="Times New Roman"/>
                <w:sz w:val="24"/>
                <w:szCs w:val="24"/>
                <w:lang w:eastAsia="lv-LV"/>
              </w:rPr>
            </w:pPr>
            <w:r w:rsidRPr="008D5243">
              <w:rPr>
                <w:rFonts w:ascii="Times New Roman" w:eastAsia="Times New Roman" w:hAnsi="Times New Roman" w:cs="Times New Roman"/>
                <w:sz w:val="24"/>
                <w:szCs w:val="24"/>
                <w:lang w:eastAsia="lv-LV"/>
              </w:rPr>
              <w:t xml:space="preserve">Ņemot vērā, ka turpmāk būs nepieciešama risku vadības sistēmas darbības uzraudzība, atlases kritēriju izvērtēšana un papildināšana, datu iegūšanas un nepieciešamo izmaiņu veikšanas koordinēšana, </w:t>
            </w:r>
            <w:r>
              <w:rPr>
                <w:rFonts w:ascii="Times New Roman" w:eastAsia="Times New Roman" w:hAnsi="Times New Roman" w:cs="Times New Roman"/>
                <w:sz w:val="24"/>
                <w:szCs w:val="24"/>
                <w:lang w:eastAsia="lv-LV"/>
              </w:rPr>
              <w:t>p</w:t>
            </w:r>
            <w:r w:rsidRPr="00B82628">
              <w:rPr>
                <w:rFonts w:ascii="Times New Roman" w:eastAsia="Times New Roman" w:hAnsi="Times New Roman" w:cs="Times New Roman"/>
                <w:sz w:val="24"/>
                <w:szCs w:val="24"/>
                <w:lang w:eastAsia="lv-LV"/>
              </w:rPr>
              <w:t>apildu pielāgojumu ieviešanai UR informācijas sistēmā</w:t>
            </w:r>
            <w:r w:rsidRPr="00B82628" w:rsidDel="00B8262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nepieciešama </w:t>
            </w:r>
            <w:r w:rsidRPr="008D5243">
              <w:rPr>
                <w:rFonts w:ascii="Times New Roman" w:eastAsia="Times New Roman" w:hAnsi="Times New Roman" w:cs="Times New Roman"/>
                <w:sz w:val="24"/>
                <w:szCs w:val="24"/>
                <w:lang w:eastAsia="lv-LV"/>
              </w:rPr>
              <w:t xml:space="preserve">1 Funkciju vadības nodaļas referenta amata vieta. </w:t>
            </w:r>
          </w:p>
          <w:p w14:paraId="335C41D1" w14:textId="7A51DA14" w:rsidR="00182D9C" w:rsidRDefault="00182D9C" w:rsidP="002C65D9">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Tāpat, </w:t>
            </w:r>
            <w:r w:rsidRPr="008D5243">
              <w:rPr>
                <w:rFonts w:ascii="Times New Roman" w:eastAsia="Times New Roman" w:hAnsi="Times New Roman" w:cs="Times New Roman"/>
                <w:sz w:val="24"/>
                <w:szCs w:val="24"/>
                <w:lang w:eastAsia="lv-LV"/>
              </w:rPr>
              <w:t>ņemot vērā pieaugošo nodarbināto noslodzi, kas veiks iesniegto dokumentu izskatīšanu, kompetento iestāžu sniegtās informācijas izvērtēšanu un lēmumu pieņemšanu,</w:t>
            </w:r>
            <w:r>
              <w:rPr>
                <w:rFonts w:ascii="Times New Roman" w:eastAsia="Times New Roman" w:hAnsi="Times New Roman" w:cs="Times New Roman"/>
                <w:sz w:val="24"/>
                <w:szCs w:val="24"/>
                <w:lang w:eastAsia="lv-LV"/>
              </w:rPr>
              <w:t xml:space="preserve"> papildus </w:t>
            </w:r>
            <w:r w:rsidRPr="008D5243">
              <w:rPr>
                <w:rFonts w:ascii="Times New Roman" w:eastAsia="Times New Roman" w:hAnsi="Times New Roman" w:cs="Times New Roman"/>
                <w:sz w:val="24"/>
                <w:szCs w:val="24"/>
                <w:lang w:eastAsia="lv-LV"/>
              </w:rPr>
              <w:t>nepieciešamas 3 valsts notāru amata vietas.</w:t>
            </w:r>
          </w:p>
          <w:p w14:paraId="335C41D3" w14:textId="77777777" w:rsidR="00182D9C" w:rsidRDefault="00182D9C" w:rsidP="002C65D9">
            <w:pPr>
              <w:spacing w:after="0" w:line="240" w:lineRule="auto"/>
              <w:ind w:firstLine="720"/>
              <w:jc w:val="both"/>
              <w:rPr>
                <w:rFonts w:ascii="Times New Roman" w:eastAsia="Times New Roman" w:hAnsi="Times New Roman" w:cs="Times New Roman"/>
                <w:sz w:val="24"/>
                <w:szCs w:val="24"/>
                <w:lang w:eastAsia="lv-LV"/>
              </w:rPr>
            </w:pPr>
            <w:r w:rsidRPr="008D5243">
              <w:rPr>
                <w:rFonts w:ascii="Times New Roman" w:eastAsia="Times New Roman" w:hAnsi="Times New Roman" w:cs="Times New Roman"/>
                <w:sz w:val="24"/>
                <w:szCs w:val="24"/>
                <w:lang w:eastAsia="lv-LV"/>
              </w:rPr>
              <w:t>Lai nodrošinātu darba vietu iekārtošanu, nepieciešams finansējums jaunu amata vietu izveidošanai</w:t>
            </w:r>
            <w:r>
              <w:rPr>
                <w:rFonts w:ascii="Times New Roman" w:eastAsia="Times New Roman" w:hAnsi="Times New Roman" w:cs="Times New Roman"/>
                <w:sz w:val="24"/>
                <w:szCs w:val="24"/>
                <w:lang w:eastAsia="lv-LV"/>
              </w:rPr>
              <w:t>.</w:t>
            </w:r>
          </w:p>
          <w:p w14:paraId="335C41D4" w14:textId="77777777" w:rsidR="00182D9C" w:rsidRPr="0007358F" w:rsidRDefault="00182D9C" w:rsidP="008D5243">
            <w:pPr>
              <w:spacing w:after="0" w:line="240" w:lineRule="auto"/>
              <w:jc w:val="both"/>
              <w:rPr>
                <w:rFonts w:ascii="Times New Roman" w:eastAsia="Times New Roman" w:hAnsi="Times New Roman" w:cs="Times New Roman"/>
                <w:sz w:val="24"/>
                <w:szCs w:val="24"/>
                <w:lang w:eastAsia="lv-LV"/>
              </w:rPr>
            </w:pPr>
          </w:p>
          <w:p w14:paraId="335C41D5" w14:textId="1255D2EF" w:rsidR="00182D9C" w:rsidRPr="0007358F" w:rsidRDefault="00182D9C" w:rsidP="00CD46AC">
            <w:pPr>
              <w:spacing w:after="0" w:line="240" w:lineRule="auto"/>
              <w:jc w:val="both"/>
              <w:rPr>
                <w:rFonts w:ascii="Times New Roman" w:eastAsia="Times New Roman" w:hAnsi="Times New Roman" w:cs="Times New Roman"/>
                <w:b/>
                <w:sz w:val="24"/>
                <w:szCs w:val="24"/>
                <w:lang w:eastAsia="lv-LV"/>
              </w:rPr>
            </w:pPr>
            <w:r w:rsidRPr="0007358F">
              <w:rPr>
                <w:rFonts w:ascii="Times New Roman" w:eastAsia="Times New Roman" w:hAnsi="Times New Roman" w:cs="Times New Roman"/>
                <w:b/>
                <w:sz w:val="24"/>
                <w:szCs w:val="24"/>
                <w:lang w:eastAsia="lv-LV"/>
              </w:rPr>
              <w:t>Izdevumi 2017. gadā: 76</w:t>
            </w:r>
            <w:r>
              <w:rPr>
                <w:rFonts w:ascii="Times New Roman" w:eastAsia="Times New Roman" w:hAnsi="Times New Roman" w:cs="Times New Roman"/>
                <w:b/>
                <w:sz w:val="24"/>
                <w:szCs w:val="24"/>
                <w:lang w:eastAsia="lv-LV"/>
              </w:rPr>
              <w:t xml:space="preserve"> </w:t>
            </w:r>
            <w:r w:rsidRPr="0007358F">
              <w:rPr>
                <w:rFonts w:ascii="Times New Roman" w:eastAsia="Times New Roman" w:hAnsi="Times New Roman" w:cs="Times New Roman"/>
                <w:b/>
                <w:sz w:val="24"/>
                <w:szCs w:val="24"/>
                <w:lang w:eastAsia="lv-LV"/>
              </w:rPr>
              <w:t xml:space="preserve">595 </w:t>
            </w:r>
            <w:r w:rsidRPr="00963DCE">
              <w:rPr>
                <w:rFonts w:ascii="Times New Roman" w:eastAsia="Times New Roman" w:hAnsi="Times New Roman" w:cs="Times New Roman"/>
                <w:b/>
                <w:i/>
                <w:sz w:val="24"/>
                <w:szCs w:val="24"/>
                <w:lang w:eastAsia="lv-LV"/>
              </w:rPr>
              <w:t>euro</w:t>
            </w:r>
          </w:p>
          <w:p w14:paraId="335C41D6" w14:textId="78DFC93F" w:rsidR="00182D9C" w:rsidRPr="0007358F" w:rsidRDefault="00182D9C" w:rsidP="00540206">
            <w:pPr>
              <w:spacing w:after="0" w:line="240" w:lineRule="auto"/>
              <w:jc w:val="both"/>
              <w:rPr>
                <w:rFonts w:ascii="Times New Roman" w:hAnsi="Times New Roman" w:cs="Times New Roman"/>
                <w:sz w:val="24"/>
                <w:szCs w:val="24"/>
              </w:rPr>
            </w:pPr>
            <w:r w:rsidRPr="0007358F">
              <w:rPr>
                <w:rFonts w:ascii="Times New Roman" w:hAnsi="Times New Roman" w:cs="Times New Roman"/>
                <w:sz w:val="24"/>
                <w:szCs w:val="24"/>
              </w:rPr>
              <w:t>1. Atlīdzība (EKK 1000) – 70</w:t>
            </w:r>
            <w:r>
              <w:rPr>
                <w:rFonts w:ascii="Times New Roman" w:hAnsi="Times New Roman" w:cs="Times New Roman"/>
                <w:sz w:val="24"/>
                <w:szCs w:val="24"/>
              </w:rPr>
              <w:t xml:space="preserve"> </w:t>
            </w:r>
            <w:r w:rsidRPr="0007358F">
              <w:rPr>
                <w:rFonts w:ascii="Times New Roman" w:hAnsi="Times New Roman" w:cs="Times New Roman"/>
                <w:sz w:val="24"/>
                <w:szCs w:val="24"/>
              </w:rPr>
              <w:t xml:space="preserve">595 </w:t>
            </w:r>
            <w:r w:rsidRPr="0007358F">
              <w:rPr>
                <w:rFonts w:ascii="Times New Roman" w:hAnsi="Times New Roman" w:cs="Times New Roman"/>
                <w:i/>
                <w:sz w:val="24"/>
                <w:szCs w:val="24"/>
              </w:rPr>
              <w:t>euro</w:t>
            </w:r>
            <w:r w:rsidRPr="0007358F">
              <w:rPr>
                <w:rFonts w:ascii="Times New Roman" w:hAnsi="Times New Roman" w:cs="Times New Roman"/>
                <w:sz w:val="24"/>
                <w:szCs w:val="24"/>
              </w:rPr>
              <w:t xml:space="preserve"> (t.sk. atalgojums 57</w:t>
            </w:r>
            <w:r>
              <w:rPr>
                <w:rFonts w:ascii="Times New Roman" w:hAnsi="Times New Roman" w:cs="Times New Roman"/>
                <w:sz w:val="24"/>
                <w:szCs w:val="24"/>
              </w:rPr>
              <w:t> </w:t>
            </w:r>
            <w:r w:rsidRPr="0007358F">
              <w:rPr>
                <w:rFonts w:ascii="Times New Roman" w:hAnsi="Times New Roman" w:cs="Times New Roman"/>
                <w:sz w:val="24"/>
                <w:szCs w:val="24"/>
              </w:rPr>
              <w:t xml:space="preserve">120 </w:t>
            </w:r>
            <w:r w:rsidRPr="0007358F">
              <w:rPr>
                <w:rFonts w:ascii="Times New Roman" w:hAnsi="Times New Roman" w:cs="Times New Roman"/>
                <w:i/>
                <w:sz w:val="24"/>
                <w:szCs w:val="24"/>
              </w:rPr>
              <w:t>euro</w:t>
            </w:r>
            <w:r w:rsidRPr="0007358F">
              <w:rPr>
                <w:rFonts w:ascii="Times New Roman" w:hAnsi="Times New Roman" w:cs="Times New Roman"/>
                <w:sz w:val="24"/>
                <w:szCs w:val="24"/>
              </w:rPr>
              <w:t>, darba devēja valsts sociālās apdrošināšanas iemaksas</w:t>
            </w:r>
            <w:r>
              <w:rPr>
                <w:rFonts w:ascii="Times New Roman" w:hAnsi="Times New Roman" w:cs="Times New Roman"/>
                <w:sz w:val="24"/>
                <w:szCs w:val="24"/>
              </w:rPr>
              <w:t xml:space="preserve"> </w:t>
            </w:r>
            <w:r w:rsidRPr="0007358F">
              <w:rPr>
                <w:rFonts w:ascii="Times New Roman" w:hAnsi="Times New Roman" w:cs="Times New Roman"/>
                <w:sz w:val="24"/>
                <w:szCs w:val="24"/>
              </w:rPr>
              <w:t>– 13</w:t>
            </w:r>
            <w:r>
              <w:rPr>
                <w:rFonts w:ascii="Times New Roman" w:hAnsi="Times New Roman" w:cs="Times New Roman"/>
                <w:sz w:val="24"/>
                <w:szCs w:val="24"/>
              </w:rPr>
              <w:t xml:space="preserve"> </w:t>
            </w:r>
            <w:r w:rsidRPr="0007358F">
              <w:rPr>
                <w:rFonts w:ascii="Times New Roman" w:hAnsi="Times New Roman" w:cs="Times New Roman"/>
                <w:sz w:val="24"/>
                <w:szCs w:val="24"/>
              </w:rPr>
              <w:t xml:space="preserve">475 </w:t>
            </w:r>
            <w:r w:rsidRPr="0007358F">
              <w:rPr>
                <w:rFonts w:ascii="Times New Roman" w:hAnsi="Times New Roman" w:cs="Times New Roman"/>
                <w:i/>
                <w:sz w:val="24"/>
                <w:szCs w:val="24"/>
              </w:rPr>
              <w:t>euro</w:t>
            </w:r>
            <w:r w:rsidRPr="0007358F">
              <w:rPr>
                <w:rFonts w:ascii="Times New Roman" w:hAnsi="Times New Roman" w:cs="Times New Roman"/>
                <w:sz w:val="24"/>
                <w:szCs w:val="24"/>
              </w:rPr>
              <w:t xml:space="preserve">): </w:t>
            </w:r>
          </w:p>
          <w:p w14:paraId="335C41D7" w14:textId="77777777" w:rsidR="00182D9C" w:rsidRPr="0007358F" w:rsidRDefault="00182D9C" w:rsidP="00540206">
            <w:pPr>
              <w:spacing w:after="0" w:line="240" w:lineRule="auto"/>
              <w:jc w:val="both"/>
              <w:rPr>
                <w:rFonts w:ascii="Times New Roman" w:hAnsi="Times New Roman" w:cs="Times New Roman"/>
                <w:sz w:val="24"/>
                <w:szCs w:val="24"/>
              </w:rPr>
            </w:pPr>
            <w:r w:rsidRPr="0007358F">
              <w:rPr>
                <w:rFonts w:ascii="Times New Roman" w:hAnsi="Times New Roman" w:cs="Times New Roman"/>
                <w:sz w:val="24"/>
                <w:szCs w:val="24"/>
              </w:rPr>
              <w:t>1.1.Nepieciešamais finansējums jaunu amata vietu izveidošanai valsts notāriem:</w:t>
            </w:r>
          </w:p>
          <w:p w14:paraId="335C41D8" w14:textId="3C3865C1" w:rsidR="00182D9C" w:rsidRPr="0007358F" w:rsidRDefault="00182D9C" w:rsidP="00540206">
            <w:pPr>
              <w:spacing w:after="0" w:line="240" w:lineRule="auto"/>
              <w:jc w:val="both"/>
              <w:rPr>
                <w:rFonts w:ascii="Times New Roman" w:hAnsi="Times New Roman" w:cs="Times New Roman"/>
                <w:i/>
                <w:sz w:val="24"/>
                <w:szCs w:val="24"/>
              </w:rPr>
            </w:pPr>
            <w:r w:rsidRPr="0007358F">
              <w:rPr>
                <w:rFonts w:ascii="Times New Roman" w:hAnsi="Times New Roman" w:cs="Times New Roman"/>
                <w:sz w:val="24"/>
                <w:szCs w:val="24"/>
              </w:rPr>
              <w:t>1.1.1.Mēnešalga (21. amatu saimes IIIA līmeņa 9.mēnešalgu grupa, 3.kategorija) 1</w:t>
            </w:r>
            <w:r>
              <w:rPr>
                <w:rFonts w:ascii="Times New Roman" w:hAnsi="Times New Roman" w:cs="Times New Roman"/>
                <w:sz w:val="24"/>
                <w:szCs w:val="24"/>
              </w:rPr>
              <w:t xml:space="preserve"> </w:t>
            </w:r>
            <w:r w:rsidRPr="0007358F">
              <w:rPr>
                <w:rFonts w:ascii="Times New Roman" w:hAnsi="Times New Roman" w:cs="Times New Roman"/>
                <w:sz w:val="24"/>
                <w:szCs w:val="24"/>
              </w:rPr>
              <w:t xml:space="preserve">190 </w:t>
            </w:r>
            <w:r w:rsidRPr="0007358F">
              <w:rPr>
                <w:rFonts w:ascii="Times New Roman" w:hAnsi="Times New Roman" w:cs="Times New Roman"/>
                <w:i/>
                <w:sz w:val="24"/>
                <w:szCs w:val="24"/>
              </w:rPr>
              <w:t>euro</w:t>
            </w:r>
            <w:r w:rsidRPr="0007358F">
              <w:rPr>
                <w:rFonts w:ascii="Times New Roman" w:hAnsi="Times New Roman" w:cs="Times New Roman"/>
                <w:sz w:val="24"/>
                <w:szCs w:val="24"/>
              </w:rPr>
              <w:t>/</w:t>
            </w:r>
            <w:proofErr w:type="spellStart"/>
            <w:r w:rsidRPr="0007358F">
              <w:rPr>
                <w:rFonts w:ascii="Times New Roman" w:hAnsi="Times New Roman" w:cs="Times New Roman"/>
                <w:sz w:val="24"/>
                <w:szCs w:val="24"/>
              </w:rPr>
              <w:t>mēn</w:t>
            </w:r>
            <w:proofErr w:type="spellEnd"/>
            <w:r w:rsidRPr="0007358F">
              <w:rPr>
                <w:rFonts w:ascii="Times New Roman" w:hAnsi="Times New Roman" w:cs="Times New Roman"/>
                <w:sz w:val="24"/>
                <w:szCs w:val="24"/>
              </w:rPr>
              <w:t xml:space="preserve"> x 12 </w:t>
            </w:r>
            <w:proofErr w:type="spellStart"/>
            <w:r w:rsidRPr="0007358F">
              <w:rPr>
                <w:rFonts w:ascii="Times New Roman" w:hAnsi="Times New Roman" w:cs="Times New Roman"/>
                <w:sz w:val="24"/>
                <w:szCs w:val="24"/>
              </w:rPr>
              <w:t>mēn</w:t>
            </w:r>
            <w:proofErr w:type="spellEnd"/>
            <w:r w:rsidRPr="0007358F">
              <w:rPr>
                <w:rFonts w:ascii="Times New Roman" w:hAnsi="Times New Roman" w:cs="Times New Roman"/>
                <w:sz w:val="24"/>
                <w:szCs w:val="24"/>
              </w:rPr>
              <w:t>.</w:t>
            </w:r>
            <w:r w:rsidRPr="0007358F">
              <w:rPr>
                <w:rFonts w:ascii="Times New Roman" w:hAnsi="Times New Roman" w:cs="Times New Roman"/>
                <w:i/>
                <w:sz w:val="24"/>
                <w:szCs w:val="24"/>
              </w:rPr>
              <w:t xml:space="preserve"> </w:t>
            </w:r>
            <w:r w:rsidRPr="0007358F">
              <w:rPr>
                <w:rFonts w:ascii="Times New Roman" w:hAnsi="Times New Roman" w:cs="Times New Roman"/>
                <w:sz w:val="24"/>
                <w:szCs w:val="24"/>
              </w:rPr>
              <w:t xml:space="preserve">x 3 amatu vietas = 42 840 </w:t>
            </w:r>
            <w:r w:rsidRPr="0007358F">
              <w:rPr>
                <w:rFonts w:ascii="Times New Roman" w:hAnsi="Times New Roman" w:cs="Times New Roman"/>
                <w:i/>
                <w:sz w:val="24"/>
                <w:szCs w:val="24"/>
              </w:rPr>
              <w:t>euro</w:t>
            </w:r>
          </w:p>
          <w:p w14:paraId="335C41D9" w14:textId="27C89FBD" w:rsidR="00182D9C" w:rsidRPr="0007358F" w:rsidRDefault="00182D9C" w:rsidP="00540206">
            <w:pPr>
              <w:spacing w:after="0" w:line="240" w:lineRule="auto"/>
              <w:jc w:val="both"/>
              <w:rPr>
                <w:rFonts w:ascii="Times New Roman" w:hAnsi="Times New Roman" w:cs="Times New Roman"/>
                <w:sz w:val="24"/>
                <w:szCs w:val="24"/>
              </w:rPr>
            </w:pPr>
            <w:r w:rsidRPr="0007358F">
              <w:rPr>
                <w:rFonts w:ascii="Times New Roman" w:hAnsi="Times New Roman" w:cs="Times New Roman"/>
                <w:sz w:val="24"/>
                <w:szCs w:val="24"/>
              </w:rPr>
              <w:t>1.1.2. Darba devēja valsts sociālās apdrošināšanas iemaksas 23,59</w:t>
            </w:r>
            <w:r>
              <w:rPr>
                <w:rFonts w:ascii="Times New Roman" w:hAnsi="Times New Roman" w:cs="Times New Roman"/>
                <w:sz w:val="24"/>
                <w:szCs w:val="24"/>
              </w:rPr>
              <w:t xml:space="preserve"> </w:t>
            </w:r>
            <w:r w:rsidRPr="0007358F">
              <w:rPr>
                <w:rFonts w:ascii="Times New Roman" w:hAnsi="Times New Roman" w:cs="Times New Roman"/>
                <w:sz w:val="24"/>
                <w:szCs w:val="24"/>
              </w:rPr>
              <w:t>%</w:t>
            </w:r>
            <w:r>
              <w:rPr>
                <w:rFonts w:ascii="Times New Roman" w:hAnsi="Times New Roman" w:cs="Times New Roman"/>
                <w:sz w:val="24"/>
                <w:szCs w:val="24"/>
              </w:rPr>
              <w:t xml:space="preserve"> </w:t>
            </w:r>
            <w:r w:rsidRPr="0007358F">
              <w:rPr>
                <w:rFonts w:ascii="Times New Roman" w:hAnsi="Times New Roman" w:cs="Times New Roman"/>
                <w:sz w:val="24"/>
                <w:szCs w:val="24"/>
              </w:rPr>
              <w:t xml:space="preserve">- </w:t>
            </w:r>
          </w:p>
          <w:p w14:paraId="335C41DA" w14:textId="22B09B26" w:rsidR="00182D9C" w:rsidRPr="0007358F" w:rsidRDefault="00182D9C" w:rsidP="00540206">
            <w:pPr>
              <w:spacing w:after="0" w:line="240" w:lineRule="auto"/>
              <w:jc w:val="both"/>
              <w:rPr>
                <w:rFonts w:ascii="Times New Roman" w:hAnsi="Times New Roman" w:cs="Times New Roman"/>
                <w:i/>
                <w:sz w:val="24"/>
                <w:szCs w:val="24"/>
              </w:rPr>
            </w:pPr>
            <w:r w:rsidRPr="0007358F">
              <w:rPr>
                <w:rFonts w:ascii="Times New Roman" w:hAnsi="Times New Roman" w:cs="Times New Roman"/>
                <w:sz w:val="24"/>
                <w:szCs w:val="24"/>
              </w:rPr>
              <w:t xml:space="preserve">42 840 </w:t>
            </w:r>
            <w:r w:rsidRPr="0007358F">
              <w:rPr>
                <w:rFonts w:ascii="Times New Roman" w:hAnsi="Times New Roman" w:cs="Times New Roman"/>
                <w:i/>
                <w:sz w:val="24"/>
                <w:szCs w:val="24"/>
              </w:rPr>
              <w:t>euro</w:t>
            </w:r>
            <w:r w:rsidRPr="0007358F">
              <w:rPr>
                <w:rFonts w:ascii="Times New Roman" w:hAnsi="Times New Roman" w:cs="Times New Roman"/>
                <w:sz w:val="24"/>
                <w:szCs w:val="24"/>
              </w:rPr>
              <w:t xml:space="preserve"> x 23,59</w:t>
            </w:r>
            <w:r>
              <w:rPr>
                <w:rFonts w:ascii="Times New Roman" w:hAnsi="Times New Roman" w:cs="Times New Roman"/>
                <w:sz w:val="24"/>
                <w:szCs w:val="24"/>
              </w:rPr>
              <w:t xml:space="preserve"> </w:t>
            </w:r>
            <w:r w:rsidRPr="0007358F">
              <w:rPr>
                <w:rFonts w:ascii="Times New Roman" w:hAnsi="Times New Roman" w:cs="Times New Roman"/>
                <w:sz w:val="24"/>
                <w:szCs w:val="24"/>
              </w:rPr>
              <w:t>% = 10</w:t>
            </w:r>
            <w:r>
              <w:rPr>
                <w:rFonts w:ascii="Times New Roman" w:hAnsi="Times New Roman" w:cs="Times New Roman"/>
                <w:sz w:val="24"/>
                <w:szCs w:val="24"/>
              </w:rPr>
              <w:t xml:space="preserve"> </w:t>
            </w:r>
            <w:r w:rsidRPr="0007358F">
              <w:rPr>
                <w:rFonts w:ascii="Times New Roman" w:hAnsi="Times New Roman" w:cs="Times New Roman"/>
                <w:sz w:val="24"/>
                <w:szCs w:val="24"/>
              </w:rPr>
              <w:t xml:space="preserve">106 </w:t>
            </w:r>
            <w:r w:rsidRPr="0007358F">
              <w:rPr>
                <w:rFonts w:ascii="Times New Roman" w:hAnsi="Times New Roman" w:cs="Times New Roman"/>
                <w:i/>
                <w:sz w:val="24"/>
                <w:szCs w:val="24"/>
              </w:rPr>
              <w:t>euro</w:t>
            </w:r>
          </w:p>
          <w:p w14:paraId="335C41DB" w14:textId="77777777" w:rsidR="00182D9C" w:rsidRPr="0007358F" w:rsidRDefault="00182D9C" w:rsidP="00540206">
            <w:pPr>
              <w:spacing w:after="0" w:line="240" w:lineRule="auto"/>
              <w:jc w:val="both"/>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1.2. Nepieciešamais finansējums jaunas amata vietas izveidošanai Funkciju vadības nodaļas referentam:</w:t>
            </w:r>
          </w:p>
          <w:p w14:paraId="335C41DC" w14:textId="1AB65015" w:rsidR="00182D9C" w:rsidRPr="0007358F" w:rsidRDefault="00182D9C" w:rsidP="00540206">
            <w:pPr>
              <w:spacing w:after="0" w:line="240" w:lineRule="auto"/>
              <w:jc w:val="both"/>
              <w:rPr>
                <w:rFonts w:ascii="Times New Roman" w:hAnsi="Times New Roman" w:cs="Times New Roman"/>
                <w:i/>
                <w:sz w:val="24"/>
                <w:szCs w:val="24"/>
              </w:rPr>
            </w:pPr>
            <w:r w:rsidRPr="0007358F">
              <w:rPr>
                <w:rFonts w:ascii="Times New Roman" w:eastAsia="Times New Roman" w:hAnsi="Times New Roman" w:cs="Times New Roman"/>
                <w:sz w:val="24"/>
                <w:szCs w:val="24"/>
                <w:lang w:eastAsia="lv-LV"/>
              </w:rPr>
              <w:t>1.2.1.</w:t>
            </w:r>
            <w:r w:rsidRPr="0007358F">
              <w:rPr>
                <w:rFonts w:ascii="Times New Roman" w:hAnsi="Times New Roman" w:cs="Times New Roman"/>
                <w:sz w:val="24"/>
                <w:szCs w:val="24"/>
              </w:rPr>
              <w:t xml:space="preserve"> Mēnešalga (35. II līmenis 9.mēnešalgu grupa, 3.kategorija) 1</w:t>
            </w:r>
            <w:r>
              <w:rPr>
                <w:rFonts w:ascii="Times New Roman" w:hAnsi="Times New Roman" w:cs="Times New Roman"/>
                <w:sz w:val="24"/>
                <w:szCs w:val="24"/>
              </w:rPr>
              <w:t xml:space="preserve"> </w:t>
            </w:r>
            <w:r w:rsidRPr="0007358F">
              <w:rPr>
                <w:rFonts w:ascii="Times New Roman" w:hAnsi="Times New Roman" w:cs="Times New Roman"/>
                <w:sz w:val="24"/>
                <w:szCs w:val="24"/>
              </w:rPr>
              <w:t xml:space="preserve">190 </w:t>
            </w:r>
            <w:r w:rsidRPr="0007358F">
              <w:rPr>
                <w:rFonts w:ascii="Times New Roman" w:hAnsi="Times New Roman" w:cs="Times New Roman"/>
                <w:i/>
                <w:sz w:val="24"/>
                <w:szCs w:val="24"/>
              </w:rPr>
              <w:t>euro</w:t>
            </w:r>
            <w:r w:rsidRPr="0007358F">
              <w:rPr>
                <w:rFonts w:ascii="Times New Roman" w:hAnsi="Times New Roman" w:cs="Times New Roman"/>
                <w:sz w:val="24"/>
                <w:szCs w:val="24"/>
              </w:rPr>
              <w:t>/</w:t>
            </w:r>
            <w:proofErr w:type="spellStart"/>
            <w:r w:rsidRPr="0007358F">
              <w:rPr>
                <w:rFonts w:ascii="Times New Roman" w:hAnsi="Times New Roman" w:cs="Times New Roman"/>
                <w:sz w:val="24"/>
                <w:szCs w:val="24"/>
              </w:rPr>
              <w:t>mēn</w:t>
            </w:r>
            <w:proofErr w:type="spellEnd"/>
            <w:r w:rsidRPr="0007358F">
              <w:rPr>
                <w:rFonts w:ascii="Times New Roman" w:hAnsi="Times New Roman" w:cs="Times New Roman"/>
                <w:sz w:val="24"/>
                <w:szCs w:val="24"/>
              </w:rPr>
              <w:t xml:space="preserve"> x 12 </w:t>
            </w:r>
            <w:proofErr w:type="spellStart"/>
            <w:r w:rsidRPr="0007358F">
              <w:rPr>
                <w:rFonts w:ascii="Times New Roman" w:hAnsi="Times New Roman" w:cs="Times New Roman"/>
                <w:sz w:val="24"/>
                <w:szCs w:val="24"/>
              </w:rPr>
              <w:t>mēn</w:t>
            </w:r>
            <w:proofErr w:type="spellEnd"/>
            <w:r w:rsidRPr="0007358F">
              <w:rPr>
                <w:rFonts w:ascii="Times New Roman" w:hAnsi="Times New Roman" w:cs="Times New Roman"/>
                <w:sz w:val="24"/>
                <w:szCs w:val="24"/>
              </w:rPr>
              <w:t xml:space="preserve">.= 14 280 </w:t>
            </w:r>
            <w:r w:rsidRPr="0007358F">
              <w:rPr>
                <w:rFonts w:ascii="Times New Roman" w:hAnsi="Times New Roman" w:cs="Times New Roman"/>
                <w:i/>
                <w:sz w:val="24"/>
                <w:szCs w:val="24"/>
              </w:rPr>
              <w:t>euro</w:t>
            </w:r>
          </w:p>
          <w:p w14:paraId="335C41DD" w14:textId="0BF2C5D9" w:rsidR="00182D9C" w:rsidRPr="0007358F" w:rsidRDefault="00182D9C" w:rsidP="00540206">
            <w:pPr>
              <w:spacing w:after="0" w:line="240" w:lineRule="auto"/>
              <w:jc w:val="both"/>
              <w:rPr>
                <w:rFonts w:ascii="Times New Roman" w:hAnsi="Times New Roman" w:cs="Times New Roman"/>
                <w:sz w:val="24"/>
                <w:szCs w:val="24"/>
              </w:rPr>
            </w:pPr>
            <w:r w:rsidRPr="0007358F">
              <w:rPr>
                <w:rFonts w:ascii="Times New Roman" w:eastAsia="Times New Roman" w:hAnsi="Times New Roman" w:cs="Times New Roman"/>
                <w:sz w:val="24"/>
                <w:szCs w:val="24"/>
                <w:lang w:eastAsia="lv-LV"/>
              </w:rPr>
              <w:t>1.2.2.</w:t>
            </w:r>
            <w:r w:rsidRPr="0007358F">
              <w:rPr>
                <w:rFonts w:ascii="Times New Roman" w:hAnsi="Times New Roman" w:cs="Times New Roman"/>
                <w:sz w:val="24"/>
                <w:szCs w:val="24"/>
              </w:rPr>
              <w:t xml:space="preserve"> Darba devēja valsts sociālās apdrošināšanas iemaksas 23,59</w:t>
            </w:r>
            <w:r>
              <w:rPr>
                <w:rFonts w:ascii="Times New Roman" w:hAnsi="Times New Roman" w:cs="Times New Roman"/>
                <w:sz w:val="24"/>
                <w:szCs w:val="24"/>
              </w:rPr>
              <w:t xml:space="preserve"> </w:t>
            </w:r>
            <w:r w:rsidRPr="0007358F">
              <w:rPr>
                <w:rFonts w:ascii="Times New Roman" w:hAnsi="Times New Roman" w:cs="Times New Roman"/>
                <w:sz w:val="24"/>
                <w:szCs w:val="24"/>
              </w:rPr>
              <w:t>%</w:t>
            </w:r>
            <w:r>
              <w:rPr>
                <w:rFonts w:ascii="Times New Roman" w:hAnsi="Times New Roman" w:cs="Times New Roman"/>
                <w:sz w:val="24"/>
                <w:szCs w:val="24"/>
              </w:rPr>
              <w:t xml:space="preserve"> </w:t>
            </w:r>
            <w:r w:rsidRPr="0007358F">
              <w:rPr>
                <w:rFonts w:ascii="Times New Roman" w:hAnsi="Times New Roman" w:cs="Times New Roman"/>
                <w:sz w:val="24"/>
                <w:szCs w:val="24"/>
              </w:rPr>
              <w:t xml:space="preserve">- </w:t>
            </w:r>
          </w:p>
          <w:p w14:paraId="19740FD0" w14:textId="47A1BBDB" w:rsidR="00182D9C" w:rsidRDefault="00182D9C" w:rsidP="00CD46AC">
            <w:pPr>
              <w:spacing w:after="0" w:line="240" w:lineRule="auto"/>
              <w:jc w:val="both"/>
              <w:rPr>
                <w:rFonts w:ascii="Times New Roman" w:hAnsi="Times New Roman" w:cs="Times New Roman"/>
                <w:sz w:val="24"/>
                <w:szCs w:val="24"/>
              </w:rPr>
            </w:pPr>
            <w:r w:rsidRPr="0007358F">
              <w:rPr>
                <w:rFonts w:ascii="Times New Roman" w:hAnsi="Times New Roman" w:cs="Times New Roman"/>
                <w:sz w:val="24"/>
                <w:szCs w:val="24"/>
              </w:rPr>
              <w:t xml:space="preserve">14 280 </w:t>
            </w:r>
            <w:r w:rsidRPr="0007358F">
              <w:rPr>
                <w:rFonts w:ascii="Times New Roman" w:hAnsi="Times New Roman" w:cs="Times New Roman"/>
                <w:i/>
                <w:sz w:val="24"/>
                <w:szCs w:val="24"/>
              </w:rPr>
              <w:t>euro</w:t>
            </w:r>
            <w:r w:rsidRPr="0007358F">
              <w:rPr>
                <w:rFonts w:ascii="Times New Roman" w:hAnsi="Times New Roman" w:cs="Times New Roman"/>
                <w:sz w:val="24"/>
                <w:szCs w:val="24"/>
              </w:rPr>
              <w:t xml:space="preserve"> x 23,59</w:t>
            </w:r>
            <w:r>
              <w:rPr>
                <w:rFonts w:ascii="Times New Roman" w:hAnsi="Times New Roman" w:cs="Times New Roman"/>
                <w:sz w:val="24"/>
                <w:szCs w:val="24"/>
              </w:rPr>
              <w:t xml:space="preserve"> </w:t>
            </w:r>
            <w:r w:rsidRPr="0007358F">
              <w:rPr>
                <w:rFonts w:ascii="Times New Roman" w:hAnsi="Times New Roman" w:cs="Times New Roman"/>
                <w:sz w:val="24"/>
                <w:szCs w:val="24"/>
              </w:rPr>
              <w:t>% = 3</w:t>
            </w:r>
            <w:r>
              <w:rPr>
                <w:rFonts w:ascii="Times New Roman" w:hAnsi="Times New Roman" w:cs="Times New Roman"/>
                <w:sz w:val="24"/>
                <w:szCs w:val="24"/>
              </w:rPr>
              <w:t xml:space="preserve"> </w:t>
            </w:r>
            <w:r w:rsidRPr="0007358F">
              <w:rPr>
                <w:rFonts w:ascii="Times New Roman" w:hAnsi="Times New Roman" w:cs="Times New Roman"/>
                <w:sz w:val="24"/>
                <w:szCs w:val="24"/>
              </w:rPr>
              <w:t xml:space="preserve">369 </w:t>
            </w:r>
            <w:r w:rsidRPr="0007358F">
              <w:rPr>
                <w:rFonts w:ascii="Times New Roman" w:hAnsi="Times New Roman" w:cs="Times New Roman"/>
                <w:i/>
                <w:sz w:val="24"/>
                <w:szCs w:val="24"/>
              </w:rPr>
              <w:t>euro</w:t>
            </w:r>
            <w:r w:rsidRPr="0007358F" w:rsidDel="00540206">
              <w:rPr>
                <w:rFonts w:ascii="Times New Roman" w:hAnsi="Times New Roman" w:cs="Times New Roman"/>
                <w:sz w:val="24"/>
                <w:szCs w:val="24"/>
              </w:rPr>
              <w:t xml:space="preserve"> </w:t>
            </w:r>
          </w:p>
          <w:p w14:paraId="335C41DE" w14:textId="6C3CCB6E" w:rsidR="00182D9C" w:rsidRPr="0007358F" w:rsidRDefault="00182D9C" w:rsidP="00CD46AC">
            <w:pPr>
              <w:spacing w:after="0" w:line="240" w:lineRule="auto"/>
              <w:jc w:val="both"/>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Vienreizējie izdevumi darba vietu iekārtošanai: 6</w:t>
            </w:r>
            <w:r>
              <w:rPr>
                <w:rFonts w:ascii="Times New Roman" w:eastAsia="Times New Roman" w:hAnsi="Times New Roman" w:cs="Times New Roman"/>
                <w:sz w:val="24"/>
                <w:szCs w:val="24"/>
                <w:lang w:eastAsia="lv-LV"/>
              </w:rPr>
              <w:t xml:space="preserve"> </w:t>
            </w:r>
            <w:r w:rsidRPr="0007358F">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00</w:t>
            </w:r>
            <w:r w:rsidRPr="0007358F">
              <w:rPr>
                <w:rFonts w:ascii="Times New Roman" w:eastAsia="Times New Roman" w:hAnsi="Times New Roman" w:cs="Times New Roman"/>
                <w:sz w:val="24"/>
                <w:szCs w:val="24"/>
                <w:lang w:eastAsia="lv-LV"/>
              </w:rPr>
              <w:t>euro</w:t>
            </w:r>
          </w:p>
          <w:p w14:paraId="335C41DF" w14:textId="234B0723" w:rsidR="00182D9C" w:rsidRPr="0007358F" w:rsidRDefault="00182D9C" w:rsidP="00CD46AC">
            <w:pPr>
              <w:spacing w:after="0" w:line="240" w:lineRule="auto"/>
              <w:jc w:val="both"/>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IKK 2310 Izdevumi par precēm iestādes darbības nodrošināšanai (printeris (9</w:t>
            </w:r>
            <w:r>
              <w:rPr>
                <w:rFonts w:ascii="Times New Roman" w:eastAsia="Times New Roman" w:hAnsi="Times New Roman" w:cs="Times New Roman"/>
                <w:sz w:val="24"/>
                <w:szCs w:val="24"/>
                <w:lang w:eastAsia="lv-LV"/>
              </w:rPr>
              <w:t>5</w:t>
            </w:r>
            <w:r w:rsidRPr="0007358F">
              <w:rPr>
                <w:rFonts w:ascii="Times New Roman" w:eastAsia="Times New Roman" w:hAnsi="Times New Roman" w:cs="Times New Roman"/>
                <w:i/>
                <w:sz w:val="24"/>
                <w:szCs w:val="24"/>
                <w:lang w:eastAsia="lv-LV"/>
              </w:rPr>
              <w:t>euro</w:t>
            </w:r>
            <w:r w:rsidRPr="0007358F">
              <w:rPr>
                <w:rFonts w:ascii="Times New Roman" w:eastAsia="Times New Roman" w:hAnsi="Times New Roman" w:cs="Times New Roman"/>
                <w:sz w:val="24"/>
                <w:szCs w:val="24"/>
                <w:lang w:eastAsia="lv-LV"/>
              </w:rPr>
              <w:t>), monitors (195</w:t>
            </w:r>
            <w:r w:rsidRPr="0007358F">
              <w:rPr>
                <w:rFonts w:ascii="Times New Roman" w:eastAsia="Times New Roman" w:hAnsi="Times New Roman" w:cs="Times New Roman"/>
                <w:i/>
                <w:sz w:val="24"/>
                <w:szCs w:val="24"/>
                <w:lang w:eastAsia="lv-LV"/>
              </w:rPr>
              <w:t>euro</w:t>
            </w:r>
            <w:r w:rsidRPr="0007358F">
              <w:rPr>
                <w:rFonts w:ascii="Times New Roman" w:eastAsia="Times New Roman" w:hAnsi="Times New Roman" w:cs="Times New Roman"/>
                <w:sz w:val="24"/>
                <w:szCs w:val="24"/>
                <w:lang w:eastAsia="lv-LV"/>
              </w:rPr>
              <w:t>), darba krēsls (210</w:t>
            </w:r>
            <w:r w:rsidRPr="0007358F">
              <w:rPr>
                <w:rFonts w:ascii="Times New Roman" w:eastAsia="Times New Roman" w:hAnsi="Times New Roman" w:cs="Times New Roman"/>
                <w:i/>
                <w:sz w:val="24"/>
                <w:szCs w:val="24"/>
                <w:lang w:eastAsia="lv-LV"/>
              </w:rPr>
              <w:t>euro</w:t>
            </w:r>
            <w:r w:rsidRPr="0007358F">
              <w:rPr>
                <w:rFonts w:ascii="Times New Roman" w:eastAsia="Times New Roman" w:hAnsi="Times New Roman" w:cs="Times New Roman"/>
                <w:sz w:val="24"/>
                <w:szCs w:val="24"/>
                <w:lang w:eastAsia="lv-LV"/>
              </w:rPr>
              <w:t>))= 50</w:t>
            </w:r>
            <w:r>
              <w:rPr>
                <w:rFonts w:ascii="Times New Roman" w:eastAsia="Times New Roman" w:hAnsi="Times New Roman" w:cs="Times New Roman"/>
                <w:sz w:val="24"/>
                <w:szCs w:val="24"/>
                <w:lang w:eastAsia="lv-LV"/>
              </w:rPr>
              <w:t>0</w:t>
            </w:r>
            <w:r w:rsidRPr="0007358F">
              <w:rPr>
                <w:rFonts w:ascii="Times New Roman" w:eastAsia="Times New Roman" w:hAnsi="Times New Roman" w:cs="Times New Roman"/>
                <w:i/>
                <w:sz w:val="24"/>
                <w:szCs w:val="24"/>
                <w:lang w:eastAsia="lv-LV"/>
              </w:rPr>
              <w:t>euro</w:t>
            </w:r>
            <w:r w:rsidRPr="0007358F">
              <w:rPr>
                <w:rFonts w:ascii="Times New Roman" w:eastAsia="Times New Roman" w:hAnsi="Times New Roman" w:cs="Times New Roman"/>
                <w:sz w:val="24"/>
                <w:szCs w:val="24"/>
                <w:lang w:eastAsia="lv-LV"/>
              </w:rPr>
              <w:t xml:space="preserve"> x 4 darba vietas= 2</w:t>
            </w:r>
            <w:r>
              <w:rPr>
                <w:rFonts w:ascii="Times New Roman" w:eastAsia="Times New Roman" w:hAnsi="Times New Roman" w:cs="Times New Roman"/>
                <w:sz w:val="24"/>
                <w:szCs w:val="24"/>
                <w:lang w:eastAsia="lv-LV"/>
              </w:rPr>
              <w:t xml:space="preserve"> </w:t>
            </w:r>
            <w:r w:rsidRPr="0007358F">
              <w:rPr>
                <w:rFonts w:ascii="Times New Roman" w:eastAsia="Times New Roman" w:hAnsi="Times New Roman" w:cs="Times New Roman"/>
                <w:sz w:val="24"/>
                <w:szCs w:val="24"/>
                <w:lang w:eastAsia="lv-LV"/>
              </w:rPr>
              <w:t>00</w:t>
            </w:r>
            <w:r>
              <w:rPr>
                <w:rFonts w:ascii="Times New Roman" w:eastAsia="Times New Roman" w:hAnsi="Times New Roman" w:cs="Times New Roman"/>
                <w:sz w:val="24"/>
                <w:szCs w:val="24"/>
                <w:lang w:eastAsia="lv-LV"/>
              </w:rPr>
              <w:t>0</w:t>
            </w:r>
            <w:r w:rsidRPr="0007358F">
              <w:rPr>
                <w:rFonts w:ascii="Times New Roman" w:eastAsia="Times New Roman" w:hAnsi="Times New Roman" w:cs="Times New Roman"/>
                <w:sz w:val="24"/>
                <w:szCs w:val="24"/>
                <w:lang w:eastAsia="lv-LV"/>
              </w:rPr>
              <w:t xml:space="preserve"> </w:t>
            </w:r>
            <w:r w:rsidRPr="0007358F">
              <w:rPr>
                <w:rFonts w:ascii="Times New Roman" w:eastAsia="Times New Roman" w:hAnsi="Times New Roman" w:cs="Times New Roman"/>
                <w:i/>
                <w:sz w:val="24"/>
                <w:szCs w:val="24"/>
                <w:lang w:eastAsia="lv-LV"/>
              </w:rPr>
              <w:t>euro</w:t>
            </w:r>
          </w:p>
          <w:p w14:paraId="335C41E0" w14:textId="274D11B2" w:rsidR="00182D9C" w:rsidRPr="0007358F" w:rsidRDefault="00182D9C" w:rsidP="00CD46AC">
            <w:pPr>
              <w:spacing w:after="0" w:line="240" w:lineRule="auto"/>
              <w:jc w:val="both"/>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IKK 5230 Pārējie pamatlīdzekļi (dators (67</w:t>
            </w:r>
            <w:r>
              <w:rPr>
                <w:rFonts w:ascii="Times New Roman" w:eastAsia="Times New Roman" w:hAnsi="Times New Roman" w:cs="Times New Roman"/>
                <w:sz w:val="24"/>
                <w:szCs w:val="24"/>
                <w:lang w:eastAsia="lv-LV"/>
              </w:rPr>
              <w:t>0</w:t>
            </w:r>
            <w:r w:rsidRPr="0007358F">
              <w:rPr>
                <w:rFonts w:ascii="Times New Roman" w:eastAsia="Times New Roman" w:hAnsi="Times New Roman" w:cs="Times New Roman"/>
                <w:sz w:val="24"/>
                <w:szCs w:val="24"/>
                <w:lang w:eastAsia="lv-LV"/>
              </w:rPr>
              <w:t xml:space="preserve"> </w:t>
            </w:r>
            <w:r w:rsidRPr="0007358F">
              <w:rPr>
                <w:rFonts w:ascii="Times New Roman" w:eastAsia="Times New Roman" w:hAnsi="Times New Roman" w:cs="Times New Roman"/>
                <w:i/>
                <w:sz w:val="24"/>
                <w:szCs w:val="24"/>
                <w:lang w:eastAsia="lv-LV"/>
              </w:rPr>
              <w:t>euro</w:t>
            </w:r>
            <w:r w:rsidRPr="0007358F">
              <w:rPr>
                <w:rFonts w:ascii="Times New Roman" w:eastAsia="Times New Roman" w:hAnsi="Times New Roman" w:cs="Times New Roman"/>
                <w:sz w:val="24"/>
                <w:szCs w:val="24"/>
                <w:lang w:eastAsia="lv-LV"/>
              </w:rPr>
              <w:t xml:space="preserve">), darba galds (330 </w:t>
            </w:r>
            <w:r w:rsidRPr="0007358F">
              <w:rPr>
                <w:rFonts w:ascii="Times New Roman" w:eastAsia="Times New Roman" w:hAnsi="Times New Roman" w:cs="Times New Roman"/>
                <w:i/>
                <w:sz w:val="24"/>
                <w:szCs w:val="24"/>
                <w:lang w:eastAsia="lv-LV"/>
              </w:rPr>
              <w:t>euro</w:t>
            </w:r>
            <w:r w:rsidRPr="0007358F">
              <w:rPr>
                <w:rFonts w:ascii="Times New Roman" w:eastAsia="Times New Roman" w:hAnsi="Times New Roman" w:cs="Times New Roman"/>
                <w:sz w:val="24"/>
                <w:szCs w:val="24"/>
                <w:lang w:eastAsia="lv-LV"/>
              </w:rPr>
              <w:t>)= 100</w:t>
            </w:r>
            <w:r>
              <w:rPr>
                <w:rFonts w:ascii="Times New Roman" w:eastAsia="Times New Roman" w:hAnsi="Times New Roman" w:cs="Times New Roman"/>
                <w:sz w:val="24"/>
                <w:szCs w:val="24"/>
                <w:lang w:eastAsia="lv-LV"/>
              </w:rPr>
              <w:t>0</w:t>
            </w:r>
            <w:r w:rsidRPr="0007358F">
              <w:rPr>
                <w:rFonts w:ascii="Times New Roman" w:eastAsia="Times New Roman" w:hAnsi="Times New Roman" w:cs="Times New Roman"/>
                <w:i/>
                <w:sz w:val="24"/>
                <w:szCs w:val="24"/>
                <w:lang w:eastAsia="lv-LV"/>
              </w:rPr>
              <w:t>euro</w:t>
            </w:r>
            <w:r w:rsidRPr="0007358F">
              <w:rPr>
                <w:rFonts w:ascii="Times New Roman" w:eastAsia="Times New Roman" w:hAnsi="Times New Roman" w:cs="Times New Roman"/>
                <w:sz w:val="24"/>
                <w:szCs w:val="24"/>
                <w:lang w:eastAsia="lv-LV"/>
              </w:rPr>
              <w:t xml:space="preserve"> x 4 darba vietas= 4</w:t>
            </w:r>
            <w:r>
              <w:rPr>
                <w:rFonts w:ascii="Times New Roman" w:eastAsia="Times New Roman" w:hAnsi="Times New Roman" w:cs="Times New Roman"/>
                <w:sz w:val="24"/>
                <w:szCs w:val="24"/>
                <w:lang w:eastAsia="lv-LV"/>
              </w:rPr>
              <w:t xml:space="preserve"> </w:t>
            </w:r>
            <w:r w:rsidRPr="0007358F">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0</w:t>
            </w:r>
            <w:r w:rsidRPr="0007358F">
              <w:rPr>
                <w:rFonts w:ascii="Times New Roman" w:eastAsia="Times New Roman" w:hAnsi="Times New Roman" w:cs="Times New Roman"/>
                <w:sz w:val="24"/>
                <w:szCs w:val="24"/>
                <w:lang w:eastAsia="lv-LV"/>
              </w:rPr>
              <w:t xml:space="preserve">0 </w:t>
            </w:r>
            <w:r w:rsidRPr="0007358F">
              <w:rPr>
                <w:rFonts w:ascii="Times New Roman" w:eastAsia="Times New Roman" w:hAnsi="Times New Roman" w:cs="Times New Roman"/>
                <w:i/>
                <w:sz w:val="24"/>
                <w:szCs w:val="24"/>
                <w:lang w:eastAsia="lv-LV"/>
              </w:rPr>
              <w:t>euro</w:t>
            </w:r>
          </w:p>
          <w:p w14:paraId="335C41E1" w14:textId="77777777" w:rsidR="00182D9C" w:rsidRPr="0007358F" w:rsidRDefault="00182D9C" w:rsidP="00CD46AC">
            <w:pPr>
              <w:spacing w:after="0" w:line="240" w:lineRule="auto"/>
              <w:jc w:val="both"/>
              <w:rPr>
                <w:rFonts w:ascii="Times New Roman" w:eastAsia="Times New Roman" w:hAnsi="Times New Roman" w:cs="Times New Roman"/>
                <w:b/>
                <w:sz w:val="24"/>
                <w:szCs w:val="24"/>
                <w:lang w:eastAsia="lv-LV"/>
              </w:rPr>
            </w:pPr>
          </w:p>
          <w:p w14:paraId="335C41E2" w14:textId="75A03197" w:rsidR="00182D9C" w:rsidRPr="0007358F" w:rsidRDefault="00182D9C" w:rsidP="00CD46AC">
            <w:pPr>
              <w:spacing w:after="0" w:line="240" w:lineRule="auto"/>
              <w:jc w:val="both"/>
              <w:rPr>
                <w:rFonts w:ascii="Times New Roman" w:eastAsia="Times New Roman" w:hAnsi="Times New Roman" w:cs="Times New Roman"/>
                <w:b/>
                <w:sz w:val="24"/>
                <w:szCs w:val="24"/>
                <w:lang w:eastAsia="lv-LV"/>
              </w:rPr>
            </w:pPr>
            <w:r w:rsidRPr="0007358F">
              <w:rPr>
                <w:rFonts w:ascii="Times New Roman" w:eastAsia="Times New Roman" w:hAnsi="Times New Roman" w:cs="Times New Roman"/>
                <w:b/>
                <w:sz w:val="24"/>
                <w:szCs w:val="24"/>
                <w:lang w:eastAsia="lv-LV"/>
              </w:rPr>
              <w:t xml:space="preserve">Izdevumi 2018. gadā un turpmākajos gados: </w:t>
            </w:r>
            <w:r w:rsidR="00815A0E">
              <w:rPr>
                <w:rFonts w:ascii="Times New Roman" w:eastAsia="Times New Roman" w:hAnsi="Times New Roman" w:cs="Times New Roman"/>
                <w:b/>
                <w:sz w:val="24"/>
                <w:szCs w:val="24"/>
                <w:lang w:eastAsia="lv-LV"/>
              </w:rPr>
              <w:t>76 595</w:t>
            </w:r>
            <w:r w:rsidRPr="0007358F">
              <w:rPr>
                <w:rFonts w:ascii="Times New Roman" w:eastAsia="Times New Roman" w:hAnsi="Times New Roman" w:cs="Times New Roman"/>
                <w:b/>
                <w:sz w:val="24"/>
                <w:szCs w:val="24"/>
                <w:lang w:eastAsia="lv-LV"/>
              </w:rPr>
              <w:t xml:space="preserve"> </w:t>
            </w:r>
            <w:r w:rsidRPr="00963DCE">
              <w:rPr>
                <w:rFonts w:ascii="Times New Roman" w:eastAsia="Times New Roman" w:hAnsi="Times New Roman" w:cs="Times New Roman"/>
                <w:b/>
                <w:i/>
                <w:sz w:val="24"/>
                <w:szCs w:val="24"/>
                <w:lang w:eastAsia="lv-LV"/>
              </w:rPr>
              <w:t>euro</w:t>
            </w:r>
          </w:p>
          <w:p w14:paraId="335C41E3" w14:textId="2DD59F67" w:rsidR="00182D9C" w:rsidRPr="0007358F" w:rsidRDefault="00182D9C" w:rsidP="00CD46AC">
            <w:pPr>
              <w:spacing w:after="0" w:line="240" w:lineRule="auto"/>
              <w:jc w:val="both"/>
              <w:rPr>
                <w:rFonts w:ascii="Times New Roman" w:hAnsi="Times New Roman" w:cs="Times New Roman"/>
                <w:sz w:val="24"/>
                <w:szCs w:val="24"/>
              </w:rPr>
            </w:pPr>
            <w:r w:rsidRPr="0007358F">
              <w:rPr>
                <w:rFonts w:ascii="Times New Roman" w:hAnsi="Times New Roman" w:cs="Times New Roman"/>
                <w:sz w:val="24"/>
                <w:szCs w:val="24"/>
              </w:rPr>
              <w:t xml:space="preserve">1. Atlīdzība (EKK 1000) – </w:t>
            </w:r>
            <w:r>
              <w:rPr>
                <w:rFonts w:ascii="Times New Roman" w:hAnsi="Times New Roman" w:cs="Times New Roman"/>
                <w:sz w:val="24"/>
                <w:szCs w:val="24"/>
              </w:rPr>
              <w:t>76 595</w:t>
            </w:r>
            <w:r w:rsidRPr="0007358F">
              <w:rPr>
                <w:rFonts w:ascii="Times New Roman" w:hAnsi="Times New Roman" w:cs="Times New Roman"/>
                <w:sz w:val="24"/>
                <w:szCs w:val="24"/>
              </w:rPr>
              <w:t xml:space="preserve"> </w:t>
            </w:r>
            <w:r w:rsidRPr="0007358F">
              <w:rPr>
                <w:rFonts w:ascii="Times New Roman" w:hAnsi="Times New Roman" w:cs="Times New Roman"/>
                <w:i/>
                <w:sz w:val="24"/>
                <w:szCs w:val="24"/>
              </w:rPr>
              <w:t>euro</w:t>
            </w:r>
            <w:r w:rsidRPr="0007358F">
              <w:rPr>
                <w:rFonts w:ascii="Times New Roman" w:hAnsi="Times New Roman" w:cs="Times New Roman"/>
                <w:sz w:val="24"/>
                <w:szCs w:val="24"/>
              </w:rPr>
              <w:t xml:space="preserve"> (t.sk. atalgojums </w:t>
            </w:r>
            <w:r>
              <w:rPr>
                <w:rFonts w:ascii="Times New Roman" w:hAnsi="Times New Roman" w:cs="Times New Roman"/>
                <w:sz w:val="24"/>
                <w:szCs w:val="24"/>
              </w:rPr>
              <w:t>61 975</w:t>
            </w:r>
            <w:r w:rsidRPr="0007358F">
              <w:rPr>
                <w:rFonts w:ascii="Times New Roman" w:hAnsi="Times New Roman" w:cs="Times New Roman"/>
                <w:sz w:val="24"/>
                <w:szCs w:val="24"/>
              </w:rPr>
              <w:t xml:space="preserve"> </w:t>
            </w:r>
            <w:r w:rsidRPr="0007358F">
              <w:rPr>
                <w:rFonts w:ascii="Times New Roman" w:hAnsi="Times New Roman" w:cs="Times New Roman"/>
                <w:i/>
                <w:sz w:val="24"/>
                <w:szCs w:val="24"/>
              </w:rPr>
              <w:t>euro</w:t>
            </w:r>
            <w:r w:rsidRPr="0007358F">
              <w:rPr>
                <w:rFonts w:ascii="Times New Roman" w:hAnsi="Times New Roman" w:cs="Times New Roman"/>
                <w:sz w:val="24"/>
                <w:szCs w:val="24"/>
              </w:rPr>
              <w:t>, darba devēja valsts sociālās apdrošināšanas iemaksas</w:t>
            </w:r>
            <w:r>
              <w:rPr>
                <w:rFonts w:ascii="Times New Roman" w:hAnsi="Times New Roman" w:cs="Times New Roman"/>
                <w:sz w:val="24"/>
                <w:szCs w:val="24"/>
              </w:rPr>
              <w:t xml:space="preserve"> </w:t>
            </w:r>
            <w:r w:rsidRPr="0007358F">
              <w:rPr>
                <w:rFonts w:ascii="Times New Roman" w:hAnsi="Times New Roman" w:cs="Times New Roman"/>
                <w:sz w:val="24"/>
                <w:szCs w:val="24"/>
              </w:rPr>
              <w:t xml:space="preserve">– </w:t>
            </w:r>
            <w:r>
              <w:rPr>
                <w:rFonts w:ascii="Times New Roman" w:hAnsi="Times New Roman" w:cs="Times New Roman"/>
                <w:sz w:val="24"/>
                <w:szCs w:val="24"/>
              </w:rPr>
              <w:t>14 620</w:t>
            </w:r>
            <w:r w:rsidRPr="0007358F">
              <w:rPr>
                <w:rFonts w:ascii="Times New Roman" w:hAnsi="Times New Roman" w:cs="Times New Roman"/>
                <w:sz w:val="24"/>
                <w:szCs w:val="24"/>
              </w:rPr>
              <w:t xml:space="preserve"> </w:t>
            </w:r>
            <w:r w:rsidRPr="0007358F">
              <w:rPr>
                <w:rFonts w:ascii="Times New Roman" w:hAnsi="Times New Roman" w:cs="Times New Roman"/>
                <w:i/>
                <w:sz w:val="24"/>
                <w:szCs w:val="24"/>
              </w:rPr>
              <w:t>euro</w:t>
            </w:r>
            <w:r w:rsidRPr="0007358F">
              <w:rPr>
                <w:rFonts w:ascii="Times New Roman" w:hAnsi="Times New Roman" w:cs="Times New Roman"/>
                <w:sz w:val="24"/>
                <w:szCs w:val="24"/>
              </w:rPr>
              <w:t xml:space="preserve">): </w:t>
            </w:r>
          </w:p>
          <w:p w14:paraId="335C41E4" w14:textId="77777777" w:rsidR="00182D9C" w:rsidRPr="0007358F" w:rsidRDefault="00182D9C" w:rsidP="00CD46AC">
            <w:pPr>
              <w:spacing w:after="0" w:line="240" w:lineRule="auto"/>
              <w:jc w:val="both"/>
              <w:rPr>
                <w:rFonts w:ascii="Times New Roman" w:hAnsi="Times New Roman" w:cs="Times New Roman"/>
                <w:sz w:val="24"/>
                <w:szCs w:val="24"/>
              </w:rPr>
            </w:pPr>
            <w:r w:rsidRPr="0007358F">
              <w:rPr>
                <w:rFonts w:ascii="Times New Roman" w:hAnsi="Times New Roman" w:cs="Times New Roman"/>
                <w:sz w:val="24"/>
                <w:szCs w:val="24"/>
              </w:rPr>
              <w:t>1.1.Nepieciešamais finansējums jaunu amata vietu izveidošanai valsts notāriem:</w:t>
            </w:r>
          </w:p>
          <w:p w14:paraId="335C41E5" w14:textId="48F9484C" w:rsidR="00182D9C" w:rsidRPr="0007358F" w:rsidRDefault="00182D9C" w:rsidP="00CD46AC">
            <w:pPr>
              <w:spacing w:after="0" w:line="240" w:lineRule="auto"/>
              <w:jc w:val="both"/>
              <w:rPr>
                <w:rFonts w:ascii="Times New Roman" w:hAnsi="Times New Roman" w:cs="Times New Roman"/>
                <w:i/>
                <w:sz w:val="24"/>
                <w:szCs w:val="24"/>
              </w:rPr>
            </w:pPr>
            <w:r w:rsidRPr="0007358F">
              <w:rPr>
                <w:rFonts w:ascii="Times New Roman" w:hAnsi="Times New Roman" w:cs="Times New Roman"/>
                <w:sz w:val="24"/>
                <w:szCs w:val="24"/>
              </w:rPr>
              <w:t>1.1.1.Mēnešalga (21. amatu saimes IIIA līmeņa 9.mēnešalgu grupa, 3.kategorija) 1</w:t>
            </w:r>
            <w:r>
              <w:rPr>
                <w:rFonts w:ascii="Times New Roman" w:hAnsi="Times New Roman" w:cs="Times New Roman"/>
                <w:sz w:val="24"/>
                <w:szCs w:val="24"/>
              </w:rPr>
              <w:t xml:space="preserve"> </w:t>
            </w:r>
            <w:r w:rsidRPr="0007358F">
              <w:rPr>
                <w:rFonts w:ascii="Times New Roman" w:hAnsi="Times New Roman" w:cs="Times New Roman"/>
                <w:sz w:val="24"/>
                <w:szCs w:val="24"/>
              </w:rPr>
              <w:t xml:space="preserve">190 </w:t>
            </w:r>
            <w:r w:rsidRPr="0007358F">
              <w:rPr>
                <w:rFonts w:ascii="Times New Roman" w:hAnsi="Times New Roman" w:cs="Times New Roman"/>
                <w:i/>
                <w:sz w:val="24"/>
                <w:szCs w:val="24"/>
              </w:rPr>
              <w:t>euro</w:t>
            </w:r>
            <w:r w:rsidRPr="0007358F">
              <w:rPr>
                <w:rFonts w:ascii="Times New Roman" w:hAnsi="Times New Roman" w:cs="Times New Roman"/>
                <w:sz w:val="24"/>
                <w:szCs w:val="24"/>
              </w:rPr>
              <w:t>/</w:t>
            </w:r>
            <w:proofErr w:type="spellStart"/>
            <w:r w:rsidRPr="0007358F">
              <w:rPr>
                <w:rFonts w:ascii="Times New Roman" w:hAnsi="Times New Roman" w:cs="Times New Roman"/>
                <w:sz w:val="24"/>
                <w:szCs w:val="24"/>
              </w:rPr>
              <w:t>mēn</w:t>
            </w:r>
            <w:proofErr w:type="spellEnd"/>
            <w:r w:rsidRPr="0007358F">
              <w:rPr>
                <w:rFonts w:ascii="Times New Roman" w:hAnsi="Times New Roman" w:cs="Times New Roman"/>
                <w:sz w:val="24"/>
                <w:szCs w:val="24"/>
              </w:rPr>
              <w:t xml:space="preserve"> x 12 </w:t>
            </w:r>
            <w:proofErr w:type="spellStart"/>
            <w:r w:rsidRPr="0007358F">
              <w:rPr>
                <w:rFonts w:ascii="Times New Roman" w:hAnsi="Times New Roman" w:cs="Times New Roman"/>
                <w:sz w:val="24"/>
                <w:szCs w:val="24"/>
              </w:rPr>
              <w:t>mēn</w:t>
            </w:r>
            <w:proofErr w:type="spellEnd"/>
            <w:r w:rsidRPr="0007358F">
              <w:rPr>
                <w:rFonts w:ascii="Times New Roman" w:hAnsi="Times New Roman" w:cs="Times New Roman"/>
                <w:sz w:val="24"/>
                <w:szCs w:val="24"/>
              </w:rPr>
              <w:t>.</w:t>
            </w:r>
            <w:r w:rsidRPr="0007358F">
              <w:rPr>
                <w:rFonts w:ascii="Times New Roman" w:hAnsi="Times New Roman" w:cs="Times New Roman"/>
                <w:i/>
                <w:sz w:val="24"/>
                <w:szCs w:val="24"/>
              </w:rPr>
              <w:t xml:space="preserve"> </w:t>
            </w:r>
            <w:r w:rsidRPr="0007358F">
              <w:rPr>
                <w:rFonts w:ascii="Times New Roman" w:hAnsi="Times New Roman" w:cs="Times New Roman"/>
                <w:sz w:val="24"/>
                <w:szCs w:val="24"/>
              </w:rPr>
              <w:t xml:space="preserve">x 3 amatu vietas = 42 840 </w:t>
            </w:r>
            <w:r w:rsidRPr="0007358F">
              <w:rPr>
                <w:rFonts w:ascii="Times New Roman" w:hAnsi="Times New Roman" w:cs="Times New Roman"/>
                <w:i/>
                <w:sz w:val="24"/>
                <w:szCs w:val="24"/>
              </w:rPr>
              <w:t>euro</w:t>
            </w:r>
          </w:p>
          <w:p w14:paraId="335C41E6" w14:textId="43471817" w:rsidR="00182D9C" w:rsidRPr="0007358F" w:rsidRDefault="00182D9C" w:rsidP="00CD46AC">
            <w:pPr>
              <w:spacing w:after="0" w:line="240" w:lineRule="auto"/>
              <w:jc w:val="both"/>
              <w:rPr>
                <w:rFonts w:ascii="Times New Roman" w:hAnsi="Times New Roman" w:cs="Times New Roman"/>
                <w:sz w:val="24"/>
                <w:szCs w:val="24"/>
              </w:rPr>
            </w:pPr>
            <w:r w:rsidRPr="0007358F">
              <w:rPr>
                <w:rFonts w:ascii="Times New Roman" w:hAnsi="Times New Roman" w:cs="Times New Roman"/>
                <w:sz w:val="24"/>
                <w:szCs w:val="24"/>
              </w:rPr>
              <w:t>1.1.2. Darba devēja valsts sociālās apdrošināšanas iemaksas 23,59</w:t>
            </w:r>
            <w:r>
              <w:rPr>
                <w:rFonts w:ascii="Times New Roman" w:hAnsi="Times New Roman" w:cs="Times New Roman"/>
                <w:sz w:val="24"/>
                <w:szCs w:val="24"/>
              </w:rPr>
              <w:t xml:space="preserve"> </w:t>
            </w:r>
            <w:r w:rsidRPr="0007358F">
              <w:rPr>
                <w:rFonts w:ascii="Times New Roman" w:hAnsi="Times New Roman" w:cs="Times New Roman"/>
                <w:sz w:val="24"/>
                <w:szCs w:val="24"/>
              </w:rPr>
              <w:t>%</w:t>
            </w:r>
            <w:r>
              <w:rPr>
                <w:rFonts w:ascii="Times New Roman" w:hAnsi="Times New Roman" w:cs="Times New Roman"/>
                <w:sz w:val="24"/>
                <w:szCs w:val="24"/>
              </w:rPr>
              <w:t xml:space="preserve"> </w:t>
            </w:r>
            <w:r w:rsidRPr="0007358F">
              <w:rPr>
                <w:rFonts w:ascii="Times New Roman" w:hAnsi="Times New Roman" w:cs="Times New Roman"/>
                <w:sz w:val="24"/>
                <w:szCs w:val="24"/>
              </w:rPr>
              <w:t xml:space="preserve">- </w:t>
            </w:r>
          </w:p>
          <w:p w14:paraId="335C41E7" w14:textId="17D095FD" w:rsidR="00182D9C" w:rsidRPr="0007358F" w:rsidRDefault="00182D9C" w:rsidP="00CD46AC">
            <w:pPr>
              <w:spacing w:after="0" w:line="240" w:lineRule="auto"/>
              <w:jc w:val="both"/>
              <w:rPr>
                <w:rFonts w:ascii="Times New Roman" w:hAnsi="Times New Roman" w:cs="Times New Roman"/>
                <w:i/>
                <w:sz w:val="24"/>
                <w:szCs w:val="24"/>
              </w:rPr>
            </w:pPr>
            <w:r w:rsidRPr="0007358F">
              <w:rPr>
                <w:rFonts w:ascii="Times New Roman" w:hAnsi="Times New Roman" w:cs="Times New Roman"/>
                <w:sz w:val="24"/>
                <w:szCs w:val="24"/>
              </w:rPr>
              <w:t xml:space="preserve">42 840 </w:t>
            </w:r>
            <w:r w:rsidRPr="0007358F">
              <w:rPr>
                <w:rFonts w:ascii="Times New Roman" w:hAnsi="Times New Roman" w:cs="Times New Roman"/>
                <w:i/>
                <w:sz w:val="24"/>
                <w:szCs w:val="24"/>
              </w:rPr>
              <w:t>euro</w:t>
            </w:r>
            <w:r w:rsidRPr="0007358F">
              <w:rPr>
                <w:rFonts w:ascii="Times New Roman" w:hAnsi="Times New Roman" w:cs="Times New Roman"/>
                <w:sz w:val="24"/>
                <w:szCs w:val="24"/>
              </w:rPr>
              <w:t xml:space="preserve"> x 23,59</w:t>
            </w:r>
            <w:r>
              <w:rPr>
                <w:rFonts w:ascii="Times New Roman" w:hAnsi="Times New Roman" w:cs="Times New Roman"/>
                <w:sz w:val="24"/>
                <w:szCs w:val="24"/>
              </w:rPr>
              <w:t xml:space="preserve"> </w:t>
            </w:r>
            <w:r w:rsidRPr="0007358F">
              <w:rPr>
                <w:rFonts w:ascii="Times New Roman" w:hAnsi="Times New Roman" w:cs="Times New Roman"/>
                <w:sz w:val="24"/>
                <w:szCs w:val="24"/>
              </w:rPr>
              <w:t>% = 10</w:t>
            </w:r>
            <w:r>
              <w:rPr>
                <w:rFonts w:ascii="Times New Roman" w:hAnsi="Times New Roman" w:cs="Times New Roman"/>
                <w:sz w:val="24"/>
                <w:szCs w:val="24"/>
              </w:rPr>
              <w:t xml:space="preserve"> </w:t>
            </w:r>
            <w:r w:rsidRPr="0007358F">
              <w:rPr>
                <w:rFonts w:ascii="Times New Roman" w:hAnsi="Times New Roman" w:cs="Times New Roman"/>
                <w:sz w:val="24"/>
                <w:szCs w:val="24"/>
              </w:rPr>
              <w:t xml:space="preserve">106 </w:t>
            </w:r>
            <w:r w:rsidRPr="0007358F">
              <w:rPr>
                <w:rFonts w:ascii="Times New Roman" w:hAnsi="Times New Roman" w:cs="Times New Roman"/>
                <w:i/>
                <w:sz w:val="24"/>
                <w:szCs w:val="24"/>
              </w:rPr>
              <w:t>euro</w:t>
            </w:r>
          </w:p>
          <w:p w14:paraId="335C41E8" w14:textId="77777777" w:rsidR="00182D9C" w:rsidRPr="0007358F" w:rsidRDefault="00182D9C" w:rsidP="00CD46AC">
            <w:pPr>
              <w:spacing w:after="0" w:line="240" w:lineRule="auto"/>
              <w:jc w:val="both"/>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1.2. Nepieciešamais finansējums jaunas amata vietas izveidošanai Funkciju vadības nodaļas referentam:</w:t>
            </w:r>
          </w:p>
          <w:p w14:paraId="335C41E9" w14:textId="3816D311" w:rsidR="00182D9C" w:rsidRPr="0007358F" w:rsidRDefault="00182D9C" w:rsidP="00CD46AC">
            <w:pPr>
              <w:spacing w:after="0" w:line="240" w:lineRule="auto"/>
              <w:jc w:val="both"/>
              <w:rPr>
                <w:rFonts w:ascii="Times New Roman" w:hAnsi="Times New Roman" w:cs="Times New Roman"/>
                <w:i/>
                <w:sz w:val="24"/>
                <w:szCs w:val="24"/>
              </w:rPr>
            </w:pPr>
            <w:r w:rsidRPr="0007358F">
              <w:rPr>
                <w:rFonts w:ascii="Times New Roman" w:eastAsia="Times New Roman" w:hAnsi="Times New Roman" w:cs="Times New Roman"/>
                <w:sz w:val="24"/>
                <w:szCs w:val="24"/>
                <w:lang w:eastAsia="lv-LV"/>
              </w:rPr>
              <w:t>1.2.1.</w:t>
            </w:r>
            <w:r w:rsidRPr="0007358F">
              <w:rPr>
                <w:rFonts w:ascii="Times New Roman" w:hAnsi="Times New Roman" w:cs="Times New Roman"/>
                <w:sz w:val="24"/>
                <w:szCs w:val="24"/>
              </w:rPr>
              <w:t xml:space="preserve"> Mēnešalga (35. II līmenis 9.mēnešalgu grupa, 3.kategorija) 1</w:t>
            </w:r>
            <w:r>
              <w:rPr>
                <w:rFonts w:ascii="Times New Roman" w:hAnsi="Times New Roman" w:cs="Times New Roman"/>
                <w:sz w:val="24"/>
                <w:szCs w:val="24"/>
              </w:rPr>
              <w:t xml:space="preserve"> </w:t>
            </w:r>
            <w:r w:rsidRPr="0007358F">
              <w:rPr>
                <w:rFonts w:ascii="Times New Roman" w:hAnsi="Times New Roman" w:cs="Times New Roman"/>
                <w:sz w:val="24"/>
                <w:szCs w:val="24"/>
              </w:rPr>
              <w:t xml:space="preserve">190 </w:t>
            </w:r>
            <w:r w:rsidRPr="0007358F">
              <w:rPr>
                <w:rFonts w:ascii="Times New Roman" w:hAnsi="Times New Roman" w:cs="Times New Roman"/>
                <w:i/>
                <w:sz w:val="24"/>
                <w:szCs w:val="24"/>
              </w:rPr>
              <w:t>euro</w:t>
            </w:r>
            <w:r w:rsidRPr="0007358F">
              <w:rPr>
                <w:rFonts w:ascii="Times New Roman" w:hAnsi="Times New Roman" w:cs="Times New Roman"/>
                <w:sz w:val="24"/>
                <w:szCs w:val="24"/>
              </w:rPr>
              <w:t>/</w:t>
            </w:r>
            <w:proofErr w:type="spellStart"/>
            <w:r w:rsidRPr="0007358F">
              <w:rPr>
                <w:rFonts w:ascii="Times New Roman" w:hAnsi="Times New Roman" w:cs="Times New Roman"/>
                <w:sz w:val="24"/>
                <w:szCs w:val="24"/>
              </w:rPr>
              <w:t>mēn</w:t>
            </w:r>
            <w:proofErr w:type="spellEnd"/>
            <w:r w:rsidRPr="0007358F">
              <w:rPr>
                <w:rFonts w:ascii="Times New Roman" w:hAnsi="Times New Roman" w:cs="Times New Roman"/>
                <w:sz w:val="24"/>
                <w:szCs w:val="24"/>
              </w:rPr>
              <w:t xml:space="preserve"> x 12 </w:t>
            </w:r>
            <w:proofErr w:type="spellStart"/>
            <w:r w:rsidRPr="0007358F">
              <w:rPr>
                <w:rFonts w:ascii="Times New Roman" w:hAnsi="Times New Roman" w:cs="Times New Roman"/>
                <w:sz w:val="24"/>
                <w:szCs w:val="24"/>
              </w:rPr>
              <w:t>mēn</w:t>
            </w:r>
            <w:proofErr w:type="spellEnd"/>
            <w:r w:rsidRPr="0007358F">
              <w:rPr>
                <w:rFonts w:ascii="Times New Roman" w:hAnsi="Times New Roman" w:cs="Times New Roman"/>
                <w:sz w:val="24"/>
                <w:szCs w:val="24"/>
              </w:rPr>
              <w:t xml:space="preserve">.= 14 280 </w:t>
            </w:r>
            <w:r w:rsidRPr="0007358F">
              <w:rPr>
                <w:rFonts w:ascii="Times New Roman" w:hAnsi="Times New Roman" w:cs="Times New Roman"/>
                <w:i/>
                <w:sz w:val="24"/>
                <w:szCs w:val="24"/>
              </w:rPr>
              <w:t>euro</w:t>
            </w:r>
          </w:p>
          <w:p w14:paraId="335C41EA" w14:textId="0906496E" w:rsidR="00182D9C" w:rsidRPr="0007358F" w:rsidRDefault="00182D9C" w:rsidP="00CD46AC">
            <w:pPr>
              <w:spacing w:after="0" w:line="240" w:lineRule="auto"/>
              <w:jc w:val="both"/>
              <w:rPr>
                <w:rFonts w:ascii="Times New Roman" w:hAnsi="Times New Roman" w:cs="Times New Roman"/>
                <w:sz w:val="24"/>
                <w:szCs w:val="24"/>
              </w:rPr>
            </w:pPr>
            <w:r w:rsidRPr="0007358F">
              <w:rPr>
                <w:rFonts w:ascii="Times New Roman" w:eastAsia="Times New Roman" w:hAnsi="Times New Roman" w:cs="Times New Roman"/>
                <w:sz w:val="24"/>
                <w:szCs w:val="24"/>
                <w:lang w:eastAsia="lv-LV"/>
              </w:rPr>
              <w:t>1.2.2.</w:t>
            </w:r>
            <w:r w:rsidRPr="0007358F">
              <w:rPr>
                <w:rFonts w:ascii="Times New Roman" w:hAnsi="Times New Roman" w:cs="Times New Roman"/>
                <w:sz w:val="24"/>
                <w:szCs w:val="24"/>
              </w:rPr>
              <w:t xml:space="preserve"> Darba devēja valsts sociālās apdrošināšanas iemaksas 23,59</w:t>
            </w:r>
            <w:r>
              <w:rPr>
                <w:rFonts w:ascii="Times New Roman" w:hAnsi="Times New Roman" w:cs="Times New Roman"/>
                <w:sz w:val="24"/>
                <w:szCs w:val="24"/>
              </w:rPr>
              <w:t xml:space="preserve"> </w:t>
            </w:r>
            <w:r w:rsidRPr="0007358F">
              <w:rPr>
                <w:rFonts w:ascii="Times New Roman" w:hAnsi="Times New Roman" w:cs="Times New Roman"/>
                <w:sz w:val="24"/>
                <w:szCs w:val="24"/>
              </w:rPr>
              <w:t>%</w:t>
            </w:r>
            <w:r>
              <w:rPr>
                <w:rFonts w:ascii="Times New Roman" w:hAnsi="Times New Roman" w:cs="Times New Roman"/>
                <w:sz w:val="24"/>
                <w:szCs w:val="24"/>
              </w:rPr>
              <w:t xml:space="preserve"> </w:t>
            </w:r>
            <w:r w:rsidRPr="0007358F">
              <w:rPr>
                <w:rFonts w:ascii="Times New Roman" w:hAnsi="Times New Roman" w:cs="Times New Roman"/>
                <w:sz w:val="24"/>
                <w:szCs w:val="24"/>
              </w:rPr>
              <w:t xml:space="preserve">- </w:t>
            </w:r>
          </w:p>
          <w:p w14:paraId="7656DB11" w14:textId="7CC7C45D" w:rsidR="00182D9C" w:rsidRDefault="00182D9C" w:rsidP="00CD46AC">
            <w:pPr>
              <w:spacing w:after="0" w:line="240" w:lineRule="auto"/>
              <w:jc w:val="both"/>
              <w:rPr>
                <w:rFonts w:ascii="Times New Roman" w:hAnsi="Times New Roman" w:cs="Times New Roman"/>
                <w:i/>
                <w:sz w:val="24"/>
                <w:szCs w:val="24"/>
              </w:rPr>
            </w:pPr>
            <w:r w:rsidRPr="0007358F">
              <w:rPr>
                <w:rFonts w:ascii="Times New Roman" w:hAnsi="Times New Roman" w:cs="Times New Roman"/>
                <w:sz w:val="24"/>
                <w:szCs w:val="24"/>
              </w:rPr>
              <w:t xml:space="preserve">14 280 </w:t>
            </w:r>
            <w:r w:rsidRPr="0007358F">
              <w:rPr>
                <w:rFonts w:ascii="Times New Roman" w:hAnsi="Times New Roman" w:cs="Times New Roman"/>
                <w:i/>
                <w:sz w:val="24"/>
                <w:szCs w:val="24"/>
              </w:rPr>
              <w:t>euro</w:t>
            </w:r>
            <w:r w:rsidRPr="0007358F">
              <w:rPr>
                <w:rFonts w:ascii="Times New Roman" w:hAnsi="Times New Roman" w:cs="Times New Roman"/>
                <w:sz w:val="24"/>
                <w:szCs w:val="24"/>
              </w:rPr>
              <w:t xml:space="preserve"> x 23,59</w:t>
            </w:r>
            <w:r>
              <w:rPr>
                <w:rFonts w:ascii="Times New Roman" w:hAnsi="Times New Roman" w:cs="Times New Roman"/>
                <w:sz w:val="24"/>
                <w:szCs w:val="24"/>
              </w:rPr>
              <w:t xml:space="preserve"> </w:t>
            </w:r>
            <w:r w:rsidRPr="0007358F">
              <w:rPr>
                <w:rFonts w:ascii="Times New Roman" w:hAnsi="Times New Roman" w:cs="Times New Roman"/>
                <w:sz w:val="24"/>
                <w:szCs w:val="24"/>
              </w:rPr>
              <w:t>% = 3</w:t>
            </w:r>
            <w:r>
              <w:rPr>
                <w:rFonts w:ascii="Times New Roman" w:hAnsi="Times New Roman" w:cs="Times New Roman"/>
                <w:sz w:val="24"/>
                <w:szCs w:val="24"/>
              </w:rPr>
              <w:t xml:space="preserve"> </w:t>
            </w:r>
            <w:r w:rsidRPr="0007358F">
              <w:rPr>
                <w:rFonts w:ascii="Times New Roman" w:hAnsi="Times New Roman" w:cs="Times New Roman"/>
                <w:sz w:val="24"/>
                <w:szCs w:val="24"/>
              </w:rPr>
              <w:t xml:space="preserve">369 </w:t>
            </w:r>
            <w:r w:rsidRPr="0007358F">
              <w:rPr>
                <w:rFonts w:ascii="Times New Roman" w:hAnsi="Times New Roman" w:cs="Times New Roman"/>
                <w:i/>
                <w:sz w:val="24"/>
                <w:szCs w:val="24"/>
              </w:rPr>
              <w:t>euro</w:t>
            </w:r>
          </w:p>
          <w:p w14:paraId="16C50CD6" w14:textId="2341871C" w:rsidR="00182D9C" w:rsidRDefault="00182D9C" w:rsidP="00CD4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 Nepieciešamais finansējums vispārējām piemaksām 8,5 % apmērā no plānotās mēnešalgu kopsummas</w:t>
            </w:r>
            <w:r w:rsidR="003B6EB7">
              <w:rPr>
                <w:rFonts w:ascii="Times New Roman" w:hAnsi="Times New Roman" w:cs="Times New Roman"/>
                <w:sz w:val="24"/>
                <w:szCs w:val="24"/>
              </w:rPr>
              <w:t>:</w:t>
            </w:r>
          </w:p>
          <w:p w14:paraId="6891B13C" w14:textId="604159D8" w:rsidR="00182D9C" w:rsidRDefault="00182D9C" w:rsidP="00CD4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1.3.1. Vispārējās piemaksas – plānotā mēnešalgu kopsumma 57 120 </w:t>
            </w:r>
            <w:r>
              <w:rPr>
                <w:rFonts w:ascii="Times New Roman" w:hAnsi="Times New Roman" w:cs="Times New Roman"/>
                <w:i/>
                <w:sz w:val="24"/>
                <w:szCs w:val="24"/>
              </w:rPr>
              <w:t xml:space="preserve">euro </w:t>
            </w:r>
            <w:r>
              <w:rPr>
                <w:rFonts w:ascii="Times New Roman" w:hAnsi="Times New Roman" w:cs="Times New Roman"/>
                <w:sz w:val="24"/>
                <w:szCs w:val="24"/>
              </w:rPr>
              <w:t xml:space="preserve">x 8,5 % = 4 855 </w:t>
            </w:r>
            <w:r>
              <w:rPr>
                <w:rFonts w:ascii="Times New Roman" w:hAnsi="Times New Roman" w:cs="Times New Roman"/>
                <w:i/>
                <w:sz w:val="24"/>
                <w:szCs w:val="24"/>
              </w:rPr>
              <w:t>euro</w:t>
            </w:r>
          </w:p>
          <w:p w14:paraId="335C41EB" w14:textId="390E8073" w:rsidR="00C234FE" w:rsidRPr="00C234FE" w:rsidRDefault="00182D9C" w:rsidP="002C65D9">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1.3.2 </w:t>
            </w:r>
            <w:r w:rsidRPr="0007358F">
              <w:rPr>
                <w:rFonts w:ascii="Times New Roman" w:hAnsi="Times New Roman" w:cs="Times New Roman"/>
                <w:sz w:val="24"/>
                <w:szCs w:val="24"/>
              </w:rPr>
              <w:t>Darba devēja valsts sociālās apdrošināšanas iemaksas 23,59</w:t>
            </w:r>
            <w:r>
              <w:rPr>
                <w:rFonts w:ascii="Times New Roman" w:hAnsi="Times New Roman" w:cs="Times New Roman"/>
                <w:sz w:val="24"/>
                <w:szCs w:val="24"/>
              </w:rPr>
              <w:t xml:space="preserve"> </w:t>
            </w:r>
            <w:r w:rsidRPr="0007358F">
              <w:rPr>
                <w:rFonts w:ascii="Times New Roman" w:hAnsi="Times New Roman" w:cs="Times New Roman"/>
                <w:sz w:val="24"/>
                <w:szCs w:val="24"/>
              </w:rPr>
              <w:t>%</w:t>
            </w:r>
            <w:r>
              <w:rPr>
                <w:rFonts w:ascii="Times New Roman" w:hAnsi="Times New Roman" w:cs="Times New Roman"/>
                <w:sz w:val="24"/>
                <w:szCs w:val="24"/>
              </w:rPr>
              <w:t xml:space="preserve"> </w:t>
            </w:r>
            <w:r w:rsidRPr="0007358F">
              <w:rPr>
                <w:rFonts w:ascii="Times New Roman" w:hAnsi="Times New Roman" w:cs="Times New Roman"/>
                <w:sz w:val="24"/>
                <w:szCs w:val="24"/>
              </w:rPr>
              <w:t>-</w:t>
            </w:r>
            <w:r>
              <w:rPr>
                <w:rFonts w:ascii="Times New Roman" w:hAnsi="Times New Roman" w:cs="Times New Roman"/>
                <w:sz w:val="24"/>
                <w:szCs w:val="24"/>
              </w:rPr>
              <w:t xml:space="preserve"> 4 855 </w:t>
            </w:r>
            <w:r>
              <w:rPr>
                <w:rFonts w:ascii="Times New Roman" w:hAnsi="Times New Roman" w:cs="Times New Roman"/>
                <w:i/>
                <w:sz w:val="24"/>
                <w:szCs w:val="24"/>
              </w:rPr>
              <w:t xml:space="preserve">euro </w:t>
            </w:r>
            <w:r>
              <w:rPr>
                <w:rFonts w:ascii="Times New Roman" w:hAnsi="Times New Roman" w:cs="Times New Roman"/>
                <w:sz w:val="24"/>
                <w:szCs w:val="24"/>
              </w:rPr>
              <w:t xml:space="preserve">x 23,59 % = 1 145 </w:t>
            </w:r>
            <w:r>
              <w:rPr>
                <w:rFonts w:ascii="Times New Roman" w:hAnsi="Times New Roman" w:cs="Times New Roman"/>
                <w:i/>
                <w:sz w:val="24"/>
                <w:szCs w:val="24"/>
              </w:rPr>
              <w:t>euro</w:t>
            </w:r>
            <w:r w:rsidR="002C65D9">
              <w:rPr>
                <w:rFonts w:ascii="Times New Roman" w:hAnsi="Times New Roman" w:cs="Times New Roman"/>
                <w:i/>
                <w:sz w:val="24"/>
                <w:szCs w:val="24"/>
              </w:rPr>
              <w:t>.</w:t>
            </w:r>
          </w:p>
        </w:tc>
      </w:tr>
      <w:tr w:rsidR="00182D9C" w:rsidRPr="0007358F" w14:paraId="335C41EF" w14:textId="77777777" w:rsidTr="00FF74F5">
        <w:trPr>
          <w:gridBefore w:val="1"/>
          <w:wBefore w:w="7" w:type="pct"/>
        </w:trPr>
        <w:tc>
          <w:tcPr>
            <w:tcW w:w="1781" w:type="pct"/>
            <w:gridSpan w:val="2"/>
            <w:tcBorders>
              <w:top w:val="outset" w:sz="6" w:space="0" w:color="414142"/>
              <w:left w:val="outset" w:sz="6" w:space="0" w:color="414142"/>
              <w:bottom w:val="outset" w:sz="6" w:space="0" w:color="414142"/>
              <w:right w:val="outset" w:sz="6" w:space="0" w:color="414142"/>
            </w:tcBorders>
            <w:hideMark/>
          </w:tcPr>
          <w:p w14:paraId="335C41ED" w14:textId="4DC1A7CC" w:rsidR="00182D9C" w:rsidRPr="0007358F" w:rsidRDefault="00182D9C"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6.1. detalizēts ieņēmumu aprēķins</w:t>
            </w:r>
          </w:p>
        </w:tc>
        <w:tc>
          <w:tcPr>
            <w:tcW w:w="3212" w:type="pct"/>
            <w:gridSpan w:val="5"/>
            <w:vMerge/>
            <w:tcBorders>
              <w:top w:val="outset" w:sz="6" w:space="0" w:color="414142"/>
              <w:left w:val="outset" w:sz="6" w:space="0" w:color="414142"/>
              <w:bottom w:val="outset" w:sz="6" w:space="0" w:color="414142"/>
              <w:right w:val="outset" w:sz="6" w:space="0" w:color="414142"/>
            </w:tcBorders>
            <w:vAlign w:val="center"/>
            <w:hideMark/>
          </w:tcPr>
          <w:p w14:paraId="335C41EE" w14:textId="77777777" w:rsidR="00182D9C" w:rsidRPr="0007358F" w:rsidRDefault="00182D9C" w:rsidP="00CD46AC">
            <w:pPr>
              <w:spacing w:after="0" w:line="240" w:lineRule="auto"/>
              <w:rPr>
                <w:rFonts w:ascii="Times New Roman" w:eastAsia="Times New Roman" w:hAnsi="Times New Roman" w:cs="Times New Roman"/>
                <w:sz w:val="24"/>
                <w:szCs w:val="24"/>
                <w:lang w:eastAsia="lv-LV"/>
              </w:rPr>
            </w:pPr>
          </w:p>
        </w:tc>
      </w:tr>
      <w:tr w:rsidR="00182D9C" w:rsidRPr="0007358F" w14:paraId="335C41F2" w14:textId="77777777" w:rsidTr="00FF74F5">
        <w:trPr>
          <w:gridBefore w:val="1"/>
          <w:wBefore w:w="7" w:type="pct"/>
        </w:trPr>
        <w:tc>
          <w:tcPr>
            <w:tcW w:w="1781" w:type="pct"/>
            <w:gridSpan w:val="2"/>
            <w:tcBorders>
              <w:top w:val="outset" w:sz="6" w:space="0" w:color="414142"/>
              <w:left w:val="outset" w:sz="6" w:space="0" w:color="414142"/>
              <w:bottom w:val="outset" w:sz="6" w:space="0" w:color="414142"/>
              <w:right w:val="outset" w:sz="6" w:space="0" w:color="414142"/>
            </w:tcBorders>
            <w:hideMark/>
          </w:tcPr>
          <w:p w14:paraId="335C41F0" w14:textId="67392B04" w:rsidR="00BE42E3" w:rsidRDefault="00182D9C"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6.2. detalizēts izdevumu aprēķins</w:t>
            </w:r>
          </w:p>
          <w:p w14:paraId="52672367" w14:textId="77777777" w:rsidR="00BE42E3" w:rsidRPr="00BE42E3" w:rsidRDefault="00BE42E3" w:rsidP="00BE42E3">
            <w:pPr>
              <w:rPr>
                <w:rFonts w:ascii="Times New Roman" w:eastAsia="Times New Roman" w:hAnsi="Times New Roman" w:cs="Times New Roman"/>
                <w:sz w:val="24"/>
                <w:szCs w:val="24"/>
                <w:lang w:eastAsia="lv-LV"/>
              </w:rPr>
            </w:pPr>
          </w:p>
          <w:p w14:paraId="173436DC" w14:textId="492959CF" w:rsidR="00182D9C" w:rsidRPr="00BE42E3" w:rsidRDefault="00182D9C" w:rsidP="00BE42E3">
            <w:pPr>
              <w:rPr>
                <w:rFonts w:ascii="Times New Roman" w:eastAsia="Times New Roman" w:hAnsi="Times New Roman" w:cs="Times New Roman"/>
                <w:sz w:val="24"/>
                <w:szCs w:val="24"/>
                <w:lang w:eastAsia="lv-LV"/>
              </w:rPr>
            </w:pPr>
          </w:p>
        </w:tc>
        <w:tc>
          <w:tcPr>
            <w:tcW w:w="3212" w:type="pct"/>
            <w:gridSpan w:val="5"/>
            <w:vMerge/>
            <w:tcBorders>
              <w:top w:val="outset" w:sz="6" w:space="0" w:color="414142"/>
              <w:left w:val="outset" w:sz="6" w:space="0" w:color="414142"/>
              <w:bottom w:val="outset" w:sz="6" w:space="0" w:color="414142"/>
              <w:right w:val="outset" w:sz="6" w:space="0" w:color="414142"/>
            </w:tcBorders>
            <w:vAlign w:val="center"/>
            <w:hideMark/>
          </w:tcPr>
          <w:p w14:paraId="335C41F1" w14:textId="77777777" w:rsidR="00182D9C" w:rsidRPr="0007358F" w:rsidRDefault="00182D9C" w:rsidP="00CD46AC">
            <w:pPr>
              <w:spacing w:after="0" w:line="240" w:lineRule="auto"/>
              <w:rPr>
                <w:rFonts w:ascii="Times New Roman" w:eastAsia="Times New Roman" w:hAnsi="Times New Roman" w:cs="Times New Roman"/>
                <w:sz w:val="24"/>
                <w:szCs w:val="24"/>
                <w:lang w:eastAsia="lv-LV"/>
              </w:rPr>
            </w:pPr>
          </w:p>
        </w:tc>
      </w:tr>
      <w:tr w:rsidR="00182D9C" w:rsidRPr="0007358F" w14:paraId="335C41F5" w14:textId="77777777" w:rsidTr="00FF74F5">
        <w:trPr>
          <w:gridBefore w:val="1"/>
          <w:wBefore w:w="7" w:type="pct"/>
          <w:trHeight w:val="555"/>
        </w:trPr>
        <w:tc>
          <w:tcPr>
            <w:tcW w:w="1781" w:type="pct"/>
            <w:gridSpan w:val="2"/>
            <w:tcBorders>
              <w:top w:val="outset" w:sz="6" w:space="0" w:color="414142"/>
              <w:left w:val="outset" w:sz="6" w:space="0" w:color="414142"/>
              <w:bottom w:val="outset" w:sz="6" w:space="0" w:color="414142"/>
              <w:right w:val="outset" w:sz="6" w:space="0" w:color="414142"/>
            </w:tcBorders>
            <w:hideMark/>
          </w:tcPr>
          <w:p w14:paraId="335C41F3" w14:textId="77777777" w:rsidR="00182D9C" w:rsidRPr="0007358F" w:rsidRDefault="00182D9C" w:rsidP="00CD46AC">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lastRenderedPageBreak/>
              <w:t>7. Cita informācija</w:t>
            </w:r>
          </w:p>
        </w:tc>
        <w:tc>
          <w:tcPr>
            <w:tcW w:w="3212" w:type="pct"/>
            <w:gridSpan w:val="5"/>
            <w:tcBorders>
              <w:top w:val="outset" w:sz="6" w:space="0" w:color="414142"/>
              <w:left w:val="outset" w:sz="6" w:space="0" w:color="414142"/>
              <w:bottom w:val="outset" w:sz="6" w:space="0" w:color="414142"/>
              <w:right w:val="outset" w:sz="6" w:space="0" w:color="414142"/>
            </w:tcBorders>
            <w:hideMark/>
          </w:tcPr>
          <w:p w14:paraId="335C41F4" w14:textId="25F18278" w:rsidR="00182D9C" w:rsidRPr="0007358F" w:rsidRDefault="00D27B91" w:rsidP="00963DCE">
            <w:pPr>
              <w:spacing w:after="0" w:line="240" w:lineRule="auto"/>
              <w:ind w:firstLine="357"/>
              <w:contextualSpacing/>
              <w:jc w:val="both"/>
              <w:rPr>
                <w:rFonts w:ascii="Times New Roman" w:hAnsi="Times New Roman" w:cs="Times New Roman"/>
                <w:sz w:val="24"/>
                <w:szCs w:val="24"/>
              </w:rPr>
            </w:pPr>
            <w:r w:rsidRPr="005A253B">
              <w:rPr>
                <w:rFonts w:ascii="Times New Roman" w:hAnsi="Times New Roman"/>
                <w:sz w:val="24"/>
                <w:szCs w:val="24"/>
              </w:rPr>
              <w:t>Saskaņā ar Ministr</w:t>
            </w:r>
            <w:r>
              <w:rPr>
                <w:rFonts w:ascii="Times New Roman" w:hAnsi="Times New Roman"/>
                <w:sz w:val="24"/>
                <w:szCs w:val="24"/>
              </w:rPr>
              <w:t>u</w:t>
            </w:r>
            <w:r w:rsidRPr="005A253B">
              <w:rPr>
                <w:rFonts w:ascii="Times New Roman" w:hAnsi="Times New Roman"/>
                <w:sz w:val="24"/>
                <w:szCs w:val="24"/>
              </w:rPr>
              <w:t xml:space="preserve"> kabineta 201</w:t>
            </w:r>
            <w:r>
              <w:rPr>
                <w:rFonts w:ascii="Times New Roman" w:hAnsi="Times New Roman"/>
                <w:sz w:val="24"/>
                <w:szCs w:val="24"/>
              </w:rPr>
              <w:t>6</w:t>
            </w:r>
            <w:r w:rsidRPr="005A253B">
              <w:rPr>
                <w:rFonts w:ascii="Times New Roman" w:hAnsi="Times New Roman"/>
                <w:sz w:val="24"/>
                <w:szCs w:val="24"/>
              </w:rPr>
              <w:t>.gada 2.augusta sēdes protokola Nr.</w:t>
            </w:r>
            <w:r>
              <w:rPr>
                <w:rFonts w:ascii="Times New Roman" w:hAnsi="Times New Roman"/>
                <w:sz w:val="24"/>
                <w:szCs w:val="24"/>
              </w:rPr>
              <w:t>38</w:t>
            </w:r>
            <w:r w:rsidRPr="005A253B">
              <w:rPr>
                <w:rFonts w:ascii="Times New Roman" w:hAnsi="Times New Roman"/>
                <w:sz w:val="24"/>
                <w:szCs w:val="24"/>
              </w:rPr>
              <w:t xml:space="preserve"> </w:t>
            </w:r>
            <w:r>
              <w:rPr>
                <w:rFonts w:ascii="Times New Roman" w:hAnsi="Times New Roman"/>
                <w:sz w:val="24"/>
                <w:szCs w:val="24"/>
              </w:rPr>
              <w:t>49</w:t>
            </w:r>
            <w:r w:rsidR="009E0C2C">
              <w:rPr>
                <w:rFonts w:ascii="Times New Roman" w:hAnsi="Times New Roman"/>
                <w:sz w:val="24"/>
                <w:szCs w:val="24"/>
              </w:rPr>
              <w:t>.</w:t>
            </w:r>
            <w:r w:rsidRPr="005A253B">
              <w:rPr>
                <w:rFonts w:ascii="Times New Roman" w:hAnsi="Times New Roman"/>
                <w:sz w:val="24"/>
                <w:szCs w:val="24"/>
              </w:rPr>
              <w:t xml:space="preserve">§ </w:t>
            </w:r>
            <w:r>
              <w:rPr>
                <w:rFonts w:ascii="Times New Roman" w:hAnsi="Times New Roman"/>
                <w:sz w:val="24"/>
                <w:szCs w:val="24"/>
              </w:rPr>
              <w:t>3.1</w:t>
            </w:r>
            <w:r w:rsidRPr="005A253B">
              <w:rPr>
                <w:rFonts w:ascii="Times New Roman" w:hAnsi="Times New Roman"/>
                <w:sz w:val="24"/>
                <w:szCs w:val="24"/>
              </w:rPr>
              <w:t>.</w:t>
            </w:r>
            <w:r w:rsidR="009E0C2C">
              <w:rPr>
                <w:rFonts w:ascii="Times New Roman" w:hAnsi="Times New Roman"/>
                <w:sz w:val="24"/>
                <w:szCs w:val="24"/>
              </w:rPr>
              <w:t>apakš</w:t>
            </w:r>
            <w:r w:rsidRPr="005A253B">
              <w:rPr>
                <w:rFonts w:ascii="Times New Roman" w:hAnsi="Times New Roman"/>
                <w:sz w:val="24"/>
                <w:szCs w:val="24"/>
              </w:rPr>
              <w:t>punktu</w:t>
            </w:r>
            <w:r>
              <w:rPr>
                <w:rFonts w:ascii="Times New Roman" w:hAnsi="Times New Roman"/>
                <w:sz w:val="24"/>
                <w:szCs w:val="24"/>
              </w:rPr>
              <w:t xml:space="preserve"> risku vadības sistēmas ieviešanai un uzturēšanai</w:t>
            </w:r>
            <w:r w:rsidRPr="005A253B">
              <w:rPr>
                <w:rFonts w:ascii="Times New Roman" w:hAnsi="Times New Roman"/>
                <w:sz w:val="24"/>
                <w:szCs w:val="24"/>
              </w:rPr>
              <w:t xml:space="preserve"> </w:t>
            </w:r>
            <w:r w:rsidR="005F088A">
              <w:rPr>
                <w:rFonts w:ascii="Times New Roman" w:hAnsi="Times New Roman"/>
                <w:sz w:val="24"/>
                <w:szCs w:val="24"/>
              </w:rPr>
              <w:t>UR</w:t>
            </w:r>
            <w:r w:rsidR="009E148A">
              <w:rPr>
                <w:rFonts w:ascii="Times New Roman" w:hAnsi="Times New Roman"/>
                <w:sz w:val="24"/>
                <w:szCs w:val="24"/>
              </w:rPr>
              <w:t xml:space="preserve"> palielināti izdevumi </w:t>
            </w:r>
            <w:r>
              <w:rPr>
                <w:rFonts w:ascii="Times New Roman" w:hAnsi="Times New Roman"/>
                <w:sz w:val="24"/>
                <w:szCs w:val="24"/>
              </w:rPr>
              <w:t>76 595</w:t>
            </w:r>
            <w:r w:rsidRPr="005A253B">
              <w:rPr>
                <w:rFonts w:ascii="Times New Roman" w:hAnsi="Times New Roman"/>
                <w:sz w:val="24"/>
                <w:szCs w:val="24"/>
              </w:rPr>
              <w:t xml:space="preserve"> </w:t>
            </w:r>
            <w:r>
              <w:rPr>
                <w:rFonts w:ascii="Times New Roman" w:hAnsi="Times New Roman"/>
                <w:i/>
                <w:sz w:val="24"/>
                <w:szCs w:val="24"/>
              </w:rPr>
              <w:t>euro</w:t>
            </w:r>
            <w:r w:rsidRPr="005A253B">
              <w:rPr>
                <w:rFonts w:ascii="Times New Roman" w:hAnsi="Times New Roman"/>
                <w:sz w:val="24"/>
                <w:szCs w:val="24"/>
              </w:rPr>
              <w:t xml:space="preserve"> </w:t>
            </w:r>
            <w:r w:rsidR="009E148A">
              <w:rPr>
                <w:rFonts w:ascii="Times New Roman" w:hAnsi="Times New Roman"/>
                <w:sz w:val="24"/>
                <w:szCs w:val="24"/>
              </w:rPr>
              <w:t>gadā.</w:t>
            </w:r>
            <w:r w:rsidRPr="005A253B">
              <w:rPr>
                <w:rFonts w:ascii="Times New Roman" w:hAnsi="Times New Roman"/>
                <w:sz w:val="24"/>
                <w:szCs w:val="24"/>
              </w:rPr>
              <w:t xml:space="preserve"> </w:t>
            </w:r>
          </w:p>
        </w:tc>
      </w:tr>
    </w:tbl>
    <w:p w14:paraId="335C41F6" w14:textId="77777777" w:rsidR="007537F6" w:rsidRPr="0007358F" w:rsidRDefault="007537F6" w:rsidP="00DA596D">
      <w:pPr>
        <w:spacing w:after="0" w:line="240" w:lineRule="auto"/>
        <w:rPr>
          <w:rFonts w:ascii="Times New Roman" w:eastAsia="Times New Roman" w:hAnsi="Times New Roman" w:cs="Times New Roman"/>
          <w:vanish/>
          <w:sz w:val="24"/>
          <w:szCs w:val="24"/>
          <w:lang w:eastAsia="lv-LV"/>
        </w:rPr>
      </w:pPr>
    </w:p>
    <w:p w14:paraId="335C41F7" w14:textId="77777777" w:rsidR="004D15A9" w:rsidRPr="0007358F"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6"/>
        <w:gridCol w:w="2409"/>
        <w:gridCol w:w="6266"/>
      </w:tblGrid>
      <w:tr w:rsidR="0004287B" w:rsidRPr="00604EC9" w14:paraId="4769E75F" w14:textId="77777777" w:rsidTr="008A534F">
        <w:trPr>
          <w:trHeight w:val="45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36E69835" w14:textId="77777777" w:rsidR="0004287B" w:rsidRPr="00604EC9" w:rsidRDefault="0004287B" w:rsidP="008A534F">
            <w:pPr>
              <w:spacing w:after="0" w:line="240" w:lineRule="auto"/>
              <w:ind w:firstLine="300"/>
              <w:jc w:val="center"/>
              <w:rPr>
                <w:rFonts w:ascii="Times New Roman" w:eastAsia="Times New Roman" w:hAnsi="Times New Roman" w:cs="Times New Roman"/>
                <w:b/>
                <w:bCs/>
                <w:sz w:val="24"/>
                <w:szCs w:val="24"/>
                <w:lang w:eastAsia="lv-LV"/>
              </w:rPr>
            </w:pPr>
            <w:r w:rsidRPr="00604EC9">
              <w:rPr>
                <w:rFonts w:ascii="Times New Roman" w:eastAsia="Times New Roman" w:hAnsi="Times New Roman" w:cs="Times New Roman"/>
                <w:b/>
                <w:bCs/>
                <w:sz w:val="24"/>
                <w:szCs w:val="24"/>
                <w:lang w:eastAsia="lv-LV"/>
              </w:rPr>
              <w:t>IV. Tiesību akta projekta ietekme uz spēkā esošo tiesību normu sistēmu</w:t>
            </w:r>
          </w:p>
        </w:tc>
      </w:tr>
      <w:tr w:rsidR="0004287B" w:rsidRPr="00604EC9" w14:paraId="44E53298" w14:textId="77777777" w:rsidTr="0004287B">
        <w:tc>
          <w:tcPr>
            <w:tcW w:w="250" w:type="pct"/>
            <w:tcBorders>
              <w:top w:val="outset" w:sz="6" w:space="0" w:color="414142"/>
              <w:left w:val="outset" w:sz="6" w:space="0" w:color="414142"/>
              <w:bottom w:val="outset" w:sz="6" w:space="0" w:color="414142"/>
              <w:right w:val="outset" w:sz="6" w:space="0" w:color="414142"/>
            </w:tcBorders>
            <w:hideMark/>
          </w:tcPr>
          <w:p w14:paraId="44DDF13E" w14:textId="77777777" w:rsidR="0004287B" w:rsidRPr="00604EC9" w:rsidRDefault="0004287B" w:rsidP="008A534F">
            <w:pPr>
              <w:spacing w:after="0" w:line="240" w:lineRule="auto"/>
              <w:rPr>
                <w:rFonts w:ascii="Times New Roman" w:eastAsia="Times New Roman" w:hAnsi="Times New Roman" w:cs="Times New Roman"/>
                <w:sz w:val="24"/>
                <w:szCs w:val="24"/>
                <w:lang w:eastAsia="lv-LV"/>
              </w:rPr>
            </w:pPr>
            <w:r w:rsidRPr="00604EC9">
              <w:rPr>
                <w:rFonts w:ascii="Times New Roman" w:eastAsia="Times New Roman" w:hAnsi="Times New Roman" w:cs="Times New Roman"/>
                <w:sz w:val="24"/>
                <w:szCs w:val="24"/>
                <w:lang w:eastAsia="lv-LV"/>
              </w:rPr>
              <w:t>1.</w:t>
            </w:r>
          </w:p>
        </w:tc>
        <w:tc>
          <w:tcPr>
            <w:tcW w:w="1319" w:type="pct"/>
            <w:tcBorders>
              <w:top w:val="outset" w:sz="6" w:space="0" w:color="414142"/>
              <w:left w:val="outset" w:sz="6" w:space="0" w:color="414142"/>
              <w:bottom w:val="outset" w:sz="6" w:space="0" w:color="414142"/>
              <w:right w:val="outset" w:sz="6" w:space="0" w:color="414142"/>
            </w:tcBorders>
            <w:hideMark/>
          </w:tcPr>
          <w:p w14:paraId="117CA72D" w14:textId="77777777" w:rsidR="0004287B" w:rsidRPr="00604EC9" w:rsidRDefault="0004287B" w:rsidP="008A534F">
            <w:pPr>
              <w:spacing w:after="0" w:line="240" w:lineRule="auto"/>
              <w:jc w:val="both"/>
              <w:rPr>
                <w:rFonts w:ascii="Times New Roman" w:eastAsia="Times New Roman" w:hAnsi="Times New Roman" w:cs="Times New Roman"/>
                <w:sz w:val="24"/>
                <w:szCs w:val="24"/>
                <w:lang w:eastAsia="lv-LV"/>
              </w:rPr>
            </w:pPr>
            <w:r w:rsidRPr="00604EC9">
              <w:rPr>
                <w:rFonts w:ascii="Times New Roman" w:eastAsia="Times New Roman" w:hAnsi="Times New Roman" w:cs="Times New Roman"/>
                <w:sz w:val="24"/>
                <w:szCs w:val="24"/>
                <w:lang w:eastAsia="lv-LV"/>
              </w:rPr>
              <w:t>Nepieciešamie saistītie tiesību aktu projekti</w:t>
            </w:r>
          </w:p>
        </w:tc>
        <w:tc>
          <w:tcPr>
            <w:tcW w:w="3431" w:type="pct"/>
            <w:tcBorders>
              <w:top w:val="outset" w:sz="6" w:space="0" w:color="414142"/>
              <w:left w:val="outset" w:sz="6" w:space="0" w:color="414142"/>
              <w:bottom w:val="outset" w:sz="6" w:space="0" w:color="414142"/>
              <w:right w:val="outset" w:sz="6" w:space="0" w:color="414142"/>
            </w:tcBorders>
            <w:hideMark/>
          </w:tcPr>
          <w:p w14:paraId="406A30F6" w14:textId="542A0EAF" w:rsidR="0004287B" w:rsidRPr="00604EC9" w:rsidRDefault="0004287B" w:rsidP="008A534F">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Ņemot vērā, ka l</w:t>
            </w:r>
            <w:r w:rsidRPr="0004287B">
              <w:rPr>
                <w:rFonts w:ascii="Times New Roman" w:eastAsia="Times New Roman" w:hAnsi="Times New Roman" w:cs="Times New Roman"/>
                <w:sz w:val="24"/>
                <w:szCs w:val="24"/>
                <w:lang w:eastAsia="lv-LV"/>
              </w:rPr>
              <w:t>ikuma “Par nodokļi</w:t>
            </w:r>
            <w:r>
              <w:rPr>
                <w:rFonts w:ascii="Times New Roman" w:eastAsia="Times New Roman" w:hAnsi="Times New Roman" w:cs="Times New Roman"/>
                <w:sz w:val="24"/>
                <w:szCs w:val="24"/>
                <w:lang w:eastAsia="lv-LV"/>
              </w:rPr>
              <w:t>em un nodevām” 22.pantā noteikts konfidencialitātes pienākums</w:t>
            </w:r>
            <w:r w:rsidRPr="0004287B">
              <w:rPr>
                <w:rFonts w:ascii="Times New Roman" w:eastAsia="Times New Roman" w:hAnsi="Times New Roman" w:cs="Times New Roman"/>
                <w:sz w:val="24"/>
                <w:szCs w:val="24"/>
                <w:lang w:eastAsia="lv-LV"/>
              </w:rPr>
              <w:t>, lai VID tiesiski varētu veikt personas datu ap</w:t>
            </w:r>
            <w:r>
              <w:rPr>
                <w:rFonts w:ascii="Times New Roman" w:eastAsia="Times New Roman" w:hAnsi="Times New Roman" w:cs="Times New Roman"/>
                <w:sz w:val="24"/>
                <w:szCs w:val="24"/>
                <w:lang w:eastAsia="lv-LV"/>
              </w:rPr>
              <w:t>strādi un, ka saskaņā ar L</w:t>
            </w:r>
            <w:r w:rsidRPr="0004287B">
              <w:rPr>
                <w:rFonts w:ascii="Times New Roman" w:eastAsia="Times New Roman" w:hAnsi="Times New Roman" w:cs="Times New Roman"/>
                <w:sz w:val="24"/>
                <w:szCs w:val="24"/>
                <w:lang w:eastAsia="lv-LV"/>
              </w:rPr>
              <w:t xml:space="preserve">ikumprojekta 2.pantā ietverto regulējumu </w:t>
            </w:r>
            <w:r>
              <w:rPr>
                <w:rFonts w:ascii="Times New Roman" w:eastAsia="Times New Roman" w:hAnsi="Times New Roman" w:cs="Times New Roman"/>
                <w:sz w:val="24"/>
                <w:szCs w:val="24"/>
                <w:lang w:eastAsia="lv-LV"/>
              </w:rPr>
              <w:t xml:space="preserve">paredzēts VID </w:t>
            </w:r>
            <w:r w:rsidRPr="0004287B">
              <w:rPr>
                <w:rFonts w:ascii="Times New Roman" w:eastAsia="Times New Roman" w:hAnsi="Times New Roman" w:cs="Times New Roman"/>
                <w:sz w:val="24"/>
                <w:szCs w:val="24"/>
                <w:lang w:eastAsia="lv-LV"/>
              </w:rPr>
              <w:t xml:space="preserve">sniegt atzinumu UR par jauna komersanta vai izmaiņu reģistrēšanas radītiem riskiem, nepieciešams izstrādāt grozījumu likuma “Par nodokļiem un nodevām” 18.pantā, </w:t>
            </w:r>
            <w:r>
              <w:rPr>
                <w:rFonts w:ascii="Times New Roman" w:eastAsia="Times New Roman" w:hAnsi="Times New Roman" w:cs="Times New Roman"/>
                <w:sz w:val="24"/>
                <w:szCs w:val="24"/>
                <w:lang w:eastAsia="lv-LV"/>
              </w:rPr>
              <w:t>paredzot</w:t>
            </w:r>
            <w:r w:rsidRPr="0004287B">
              <w:rPr>
                <w:rFonts w:ascii="Times New Roman" w:eastAsia="Times New Roman" w:hAnsi="Times New Roman" w:cs="Times New Roman"/>
                <w:sz w:val="24"/>
                <w:szCs w:val="24"/>
                <w:lang w:eastAsia="lv-LV"/>
              </w:rPr>
              <w:t xml:space="preserve"> VID tiesības</w:t>
            </w:r>
            <w:r>
              <w:rPr>
                <w:rFonts w:ascii="Times New Roman" w:eastAsia="Times New Roman" w:hAnsi="Times New Roman" w:cs="Times New Roman"/>
                <w:sz w:val="24"/>
                <w:szCs w:val="24"/>
                <w:lang w:eastAsia="lv-LV"/>
              </w:rPr>
              <w:t xml:space="preserve"> sniegt L</w:t>
            </w:r>
            <w:r w:rsidRPr="0004287B">
              <w:rPr>
                <w:rFonts w:ascii="Times New Roman" w:eastAsia="Times New Roman" w:hAnsi="Times New Roman" w:cs="Times New Roman"/>
                <w:sz w:val="24"/>
                <w:szCs w:val="24"/>
                <w:lang w:eastAsia="lv-LV"/>
              </w:rPr>
              <w:t xml:space="preserve">ikumprojekta 2.pantā paredzēto atzinumu ar informāciju par attiecīgo </w:t>
            </w:r>
            <w:r>
              <w:rPr>
                <w:rFonts w:ascii="Times New Roman" w:eastAsia="Times New Roman" w:hAnsi="Times New Roman" w:cs="Times New Roman"/>
                <w:sz w:val="24"/>
                <w:szCs w:val="24"/>
                <w:lang w:eastAsia="lv-LV"/>
              </w:rPr>
              <w:t>nodokļu maksātāju. Līdz ar to veicami grozījumi</w:t>
            </w:r>
            <w:r w:rsidRPr="0004287B">
              <w:rPr>
                <w:rFonts w:ascii="Times New Roman" w:eastAsia="Times New Roman" w:hAnsi="Times New Roman" w:cs="Times New Roman"/>
                <w:sz w:val="24"/>
                <w:szCs w:val="24"/>
                <w:lang w:eastAsia="lv-LV"/>
              </w:rPr>
              <w:t xml:space="preserve"> li</w:t>
            </w:r>
            <w:r>
              <w:rPr>
                <w:rFonts w:ascii="Times New Roman" w:eastAsia="Times New Roman" w:hAnsi="Times New Roman" w:cs="Times New Roman"/>
                <w:sz w:val="24"/>
                <w:szCs w:val="24"/>
                <w:lang w:eastAsia="lv-LV"/>
              </w:rPr>
              <w:t xml:space="preserve">kumā “Par nodokļiem un nodevām”, kuriem </w:t>
            </w:r>
            <w:r w:rsidRPr="0004287B">
              <w:rPr>
                <w:rFonts w:ascii="Times New Roman" w:eastAsia="Times New Roman" w:hAnsi="Times New Roman" w:cs="Times New Roman"/>
                <w:sz w:val="24"/>
                <w:szCs w:val="24"/>
                <w:lang w:eastAsia="lv-LV"/>
              </w:rPr>
              <w:t>jāstājas spēkā vienlaicīgi</w:t>
            </w:r>
            <w:r>
              <w:rPr>
                <w:rFonts w:ascii="Times New Roman" w:eastAsia="Times New Roman" w:hAnsi="Times New Roman" w:cs="Times New Roman"/>
                <w:sz w:val="24"/>
                <w:szCs w:val="24"/>
                <w:lang w:eastAsia="lv-LV"/>
              </w:rPr>
              <w:t xml:space="preserve"> ar Likumprojektu</w:t>
            </w:r>
            <w:r w:rsidRPr="0004287B">
              <w:rPr>
                <w:rFonts w:ascii="Times New Roman" w:eastAsia="Times New Roman" w:hAnsi="Times New Roman" w:cs="Times New Roman"/>
                <w:sz w:val="24"/>
                <w:szCs w:val="24"/>
                <w:lang w:eastAsia="lv-LV"/>
              </w:rPr>
              <w:t>.</w:t>
            </w:r>
          </w:p>
        </w:tc>
      </w:tr>
      <w:tr w:rsidR="0004287B" w:rsidRPr="00604EC9" w14:paraId="7ACF840D" w14:textId="77777777" w:rsidTr="0004287B">
        <w:tc>
          <w:tcPr>
            <w:tcW w:w="250" w:type="pct"/>
            <w:tcBorders>
              <w:top w:val="outset" w:sz="6" w:space="0" w:color="414142"/>
              <w:left w:val="outset" w:sz="6" w:space="0" w:color="414142"/>
              <w:bottom w:val="outset" w:sz="6" w:space="0" w:color="414142"/>
              <w:right w:val="outset" w:sz="6" w:space="0" w:color="414142"/>
            </w:tcBorders>
            <w:hideMark/>
          </w:tcPr>
          <w:p w14:paraId="27D2DA45" w14:textId="77777777" w:rsidR="0004287B" w:rsidRPr="00604EC9" w:rsidRDefault="0004287B" w:rsidP="008A534F">
            <w:pPr>
              <w:spacing w:after="0" w:line="240" w:lineRule="auto"/>
              <w:rPr>
                <w:rFonts w:ascii="Times New Roman" w:eastAsia="Times New Roman" w:hAnsi="Times New Roman" w:cs="Times New Roman"/>
                <w:sz w:val="24"/>
                <w:szCs w:val="24"/>
                <w:lang w:eastAsia="lv-LV"/>
              </w:rPr>
            </w:pPr>
            <w:r w:rsidRPr="00604EC9">
              <w:rPr>
                <w:rFonts w:ascii="Times New Roman" w:eastAsia="Times New Roman" w:hAnsi="Times New Roman" w:cs="Times New Roman"/>
                <w:sz w:val="24"/>
                <w:szCs w:val="24"/>
                <w:lang w:eastAsia="lv-LV"/>
              </w:rPr>
              <w:t>2.</w:t>
            </w:r>
          </w:p>
        </w:tc>
        <w:tc>
          <w:tcPr>
            <w:tcW w:w="1319" w:type="pct"/>
            <w:tcBorders>
              <w:top w:val="outset" w:sz="6" w:space="0" w:color="414142"/>
              <w:left w:val="outset" w:sz="6" w:space="0" w:color="414142"/>
              <w:bottom w:val="outset" w:sz="6" w:space="0" w:color="414142"/>
              <w:right w:val="outset" w:sz="6" w:space="0" w:color="414142"/>
            </w:tcBorders>
            <w:hideMark/>
          </w:tcPr>
          <w:p w14:paraId="5F0C55DE" w14:textId="77777777" w:rsidR="0004287B" w:rsidRPr="00604EC9" w:rsidRDefault="0004287B" w:rsidP="008A534F">
            <w:pPr>
              <w:spacing w:after="0" w:line="240" w:lineRule="auto"/>
              <w:jc w:val="both"/>
              <w:rPr>
                <w:rFonts w:ascii="Times New Roman" w:eastAsia="Times New Roman" w:hAnsi="Times New Roman" w:cs="Times New Roman"/>
                <w:sz w:val="24"/>
                <w:szCs w:val="24"/>
                <w:lang w:eastAsia="lv-LV"/>
              </w:rPr>
            </w:pPr>
            <w:r w:rsidRPr="00604EC9">
              <w:rPr>
                <w:rFonts w:ascii="Times New Roman" w:eastAsia="Times New Roman" w:hAnsi="Times New Roman" w:cs="Times New Roman"/>
                <w:sz w:val="24"/>
                <w:szCs w:val="24"/>
                <w:lang w:eastAsia="lv-LV"/>
              </w:rPr>
              <w:t>Atbildīgā institūcija</w:t>
            </w:r>
          </w:p>
        </w:tc>
        <w:tc>
          <w:tcPr>
            <w:tcW w:w="3431" w:type="pct"/>
            <w:tcBorders>
              <w:top w:val="outset" w:sz="6" w:space="0" w:color="414142"/>
              <w:left w:val="outset" w:sz="6" w:space="0" w:color="414142"/>
              <w:bottom w:val="outset" w:sz="6" w:space="0" w:color="414142"/>
              <w:right w:val="outset" w:sz="6" w:space="0" w:color="414142"/>
            </w:tcBorders>
            <w:hideMark/>
          </w:tcPr>
          <w:p w14:paraId="77470674" w14:textId="02527682" w:rsidR="0004287B" w:rsidRPr="00604EC9" w:rsidRDefault="0004287B" w:rsidP="008A534F">
            <w:pPr>
              <w:spacing w:after="0" w:line="240" w:lineRule="auto"/>
              <w:ind w:firstLine="284"/>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ministrija</w:t>
            </w:r>
            <w:r w:rsidRPr="00604EC9">
              <w:rPr>
                <w:rFonts w:ascii="Times New Roman" w:eastAsia="Times New Roman" w:hAnsi="Times New Roman" w:cs="Times New Roman"/>
                <w:sz w:val="24"/>
                <w:szCs w:val="24"/>
                <w:lang w:eastAsia="lv-LV"/>
              </w:rPr>
              <w:t>.</w:t>
            </w:r>
          </w:p>
        </w:tc>
      </w:tr>
      <w:tr w:rsidR="0004287B" w:rsidRPr="00604EC9" w14:paraId="1065501F" w14:textId="77777777" w:rsidTr="0004287B">
        <w:tc>
          <w:tcPr>
            <w:tcW w:w="250" w:type="pct"/>
            <w:tcBorders>
              <w:top w:val="outset" w:sz="6" w:space="0" w:color="414142"/>
              <w:left w:val="outset" w:sz="6" w:space="0" w:color="414142"/>
              <w:bottom w:val="outset" w:sz="6" w:space="0" w:color="414142"/>
              <w:right w:val="outset" w:sz="6" w:space="0" w:color="414142"/>
            </w:tcBorders>
            <w:hideMark/>
          </w:tcPr>
          <w:p w14:paraId="0609E6EE" w14:textId="77777777" w:rsidR="0004287B" w:rsidRPr="00604EC9" w:rsidRDefault="0004287B" w:rsidP="008A534F">
            <w:pPr>
              <w:spacing w:after="0" w:line="240" w:lineRule="auto"/>
              <w:rPr>
                <w:rFonts w:ascii="Times New Roman" w:eastAsia="Times New Roman" w:hAnsi="Times New Roman" w:cs="Times New Roman"/>
                <w:sz w:val="24"/>
                <w:szCs w:val="24"/>
                <w:lang w:eastAsia="lv-LV"/>
              </w:rPr>
            </w:pPr>
            <w:r w:rsidRPr="00604EC9">
              <w:rPr>
                <w:rFonts w:ascii="Times New Roman" w:eastAsia="Times New Roman" w:hAnsi="Times New Roman" w:cs="Times New Roman"/>
                <w:sz w:val="24"/>
                <w:szCs w:val="24"/>
                <w:lang w:eastAsia="lv-LV"/>
              </w:rPr>
              <w:t>3.</w:t>
            </w:r>
          </w:p>
        </w:tc>
        <w:tc>
          <w:tcPr>
            <w:tcW w:w="1319" w:type="pct"/>
            <w:tcBorders>
              <w:top w:val="outset" w:sz="6" w:space="0" w:color="414142"/>
              <w:left w:val="outset" w:sz="6" w:space="0" w:color="414142"/>
              <w:bottom w:val="outset" w:sz="6" w:space="0" w:color="414142"/>
              <w:right w:val="outset" w:sz="6" w:space="0" w:color="414142"/>
            </w:tcBorders>
            <w:hideMark/>
          </w:tcPr>
          <w:p w14:paraId="44ECE3D8" w14:textId="77777777" w:rsidR="0004287B" w:rsidRPr="00604EC9" w:rsidRDefault="0004287B" w:rsidP="008A534F">
            <w:pPr>
              <w:spacing w:after="0" w:line="240" w:lineRule="auto"/>
              <w:jc w:val="both"/>
              <w:rPr>
                <w:rFonts w:ascii="Times New Roman" w:eastAsia="Times New Roman" w:hAnsi="Times New Roman" w:cs="Times New Roman"/>
                <w:sz w:val="24"/>
                <w:szCs w:val="24"/>
                <w:lang w:eastAsia="lv-LV"/>
              </w:rPr>
            </w:pPr>
            <w:r w:rsidRPr="00604EC9">
              <w:rPr>
                <w:rFonts w:ascii="Times New Roman" w:eastAsia="Times New Roman" w:hAnsi="Times New Roman" w:cs="Times New Roman"/>
                <w:sz w:val="24"/>
                <w:szCs w:val="24"/>
                <w:lang w:eastAsia="lv-LV"/>
              </w:rPr>
              <w:t>Cita informācija</w:t>
            </w:r>
          </w:p>
        </w:tc>
        <w:tc>
          <w:tcPr>
            <w:tcW w:w="3431" w:type="pct"/>
            <w:tcBorders>
              <w:top w:val="outset" w:sz="6" w:space="0" w:color="414142"/>
              <w:left w:val="outset" w:sz="6" w:space="0" w:color="414142"/>
              <w:bottom w:val="outset" w:sz="6" w:space="0" w:color="414142"/>
              <w:right w:val="outset" w:sz="6" w:space="0" w:color="414142"/>
            </w:tcBorders>
            <w:hideMark/>
          </w:tcPr>
          <w:p w14:paraId="4EEDB5D3" w14:textId="22CC05CA" w:rsidR="0004287B" w:rsidRPr="00604EC9" w:rsidRDefault="0004287B" w:rsidP="008A534F">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335C4206" w14:textId="77777777" w:rsidR="001044EF" w:rsidRPr="0007358F" w:rsidRDefault="001044EF" w:rsidP="00352D64">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131"/>
      </w:tblGrid>
      <w:tr w:rsidR="0022526E" w:rsidRPr="0007358F" w14:paraId="335C4208" w14:textId="77777777" w:rsidTr="0022526E">
        <w:tc>
          <w:tcPr>
            <w:tcW w:w="0" w:type="auto"/>
            <w:tcBorders>
              <w:top w:val="outset" w:sz="6" w:space="0" w:color="414142"/>
              <w:left w:val="outset" w:sz="6" w:space="0" w:color="414142"/>
              <w:bottom w:val="outset" w:sz="6" w:space="0" w:color="414142"/>
              <w:right w:val="outset" w:sz="6" w:space="0" w:color="414142"/>
            </w:tcBorders>
            <w:vAlign w:val="center"/>
            <w:hideMark/>
          </w:tcPr>
          <w:p w14:paraId="335C4207" w14:textId="77777777" w:rsidR="0022526E" w:rsidRPr="0007358F" w:rsidRDefault="0022526E" w:rsidP="00352D64">
            <w:pPr>
              <w:spacing w:after="0" w:line="240" w:lineRule="auto"/>
              <w:jc w:val="center"/>
              <w:rPr>
                <w:rFonts w:ascii="Times New Roman" w:eastAsia="Times New Roman" w:hAnsi="Times New Roman" w:cs="Times New Roman"/>
                <w:b/>
                <w:bCs/>
                <w:sz w:val="24"/>
                <w:szCs w:val="24"/>
                <w:lang w:eastAsia="lv-LV"/>
              </w:rPr>
            </w:pPr>
            <w:r w:rsidRPr="0007358F">
              <w:rPr>
                <w:rFonts w:ascii="Times New Roman" w:eastAsia="Times New Roman" w:hAnsi="Times New Roman" w:cs="Times New Roman"/>
                <w:b/>
                <w:bCs/>
                <w:sz w:val="24"/>
                <w:szCs w:val="24"/>
                <w:lang w:eastAsia="lv-LV"/>
              </w:rPr>
              <w:t>V. Tiesību akta projekta atbilstība Latvijas Republikas starptautiskajām saistībām</w:t>
            </w:r>
          </w:p>
        </w:tc>
      </w:tr>
      <w:tr w:rsidR="006C6B11" w:rsidRPr="0007358F" w14:paraId="335C420A" w14:textId="77777777" w:rsidTr="0022526E">
        <w:tc>
          <w:tcPr>
            <w:tcW w:w="0" w:type="auto"/>
            <w:tcBorders>
              <w:top w:val="outset" w:sz="6" w:space="0" w:color="414142"/>
              <w:left w:val="outset" w:sz="6" w:space="0" w:color="414142"/>
              <w:bottom w:val="outset" w:sz="6" w:space="0" w:color="414142"/>
              <w:right w:val="outset" w:sz="6" w:space="0" w:color="414142"/>
            </w:tcBorders>
            <w:vAlign w:val="center"/>
          </w:tcPr>
          <w:p w14:paraId="335C4209" w14:textId="77777777" w:rsidR="006C6B11" w:rsidRPr="0007358F" w:rsidRDefault="006C6B11" w:rsidP="00352D64">
            <w:pPr>
              <w:spacing w:after="0" w:line="240" w:lineRule="auto"/>
              <w:jc w:val="center"/>
              <w:rPr>
                <w:rFonts w:ascii="Times New Roman" w:eastAsia="Times New Roman" w:hAnsi="Times New Roman" w:cs="Times New Roman"/>
                <w:bCs/>
                <w:i/>
                <w:sz w:val="24"/>
                <w:szCs w:val="24"/>
                <w:lang w:eastAsia="lv-LV"/>
              </w:rPr>
            </w:pPr>
            <w:r w:rsidRPr="0007358F">
              <w:rPr>
                <w:rFonts w:ascii="Times New Roman" w:eastAsia="Times New Roman" w:hAnsi="Times New Roman" w:cs="Times New Roman"/>
                <w:bCs/>
                <w:i/>
                <w:sz w:val="24"/>
                <w:szCs w:val="24"/>
                <w:lang w:eastAsia="lv-LV"/>
              </w:rPr>
              <w:t>Likumprojekts šo jomu neskar.</w:t>
            </w:r>
          </w:p>
        </w:tc>
      </w:tr>
    </w:tbl>
    <w:p w14:paraId="335C420B" w14:textId="77777777" w:rsidR="004F4025" w:rsidRPr="0007358F" w:rsidRDefault="004F4025"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131"/>
      </w:tblGrid>
      <w:tr w:rsidR="004A00F2" w:rsidRPr="0007358F" w14:paraId="335C420D" w14:textId="77777777" w:rsidTr="008D29D2">
        <w:tc>
          <w:tcPr>
            <w:tcW w:w="0" w:type="auto"/>
            <w:tcBorders>
              <w:top w:val="outset" w:sz="6" w:space="0" w:color="414142"/>
              <w:left w:val="outset" w:sz="6" w:space="0" w:color="414142"/>
              <w:bottom w:val="outset" w:sz="6" w:space="0" w:color="414142"/>
              <w:right w:val="outset" w:sz="6" w:space="0" w:color="414142"/>
            </w:tcBorders>
            <w:vAlign w:val="center"/>
            <w:hideMark/>
          </w:tcPr>
          <w:p w14:paraId="335C420C" w14:textId="77777777" w:rsidR="004A00F2" w:rsidRPr="0007358F" w:rsidRDefault="004A00F2" w:rsidP="008D29D2">
            <w:pPr>
              <w:spacing w:after="0" w:line="240" w:lineRule="auto"/>
              <w:jc w:val="center"/>
              <w:rPr>
                <w:rFonts w:ascii="Times New Roman" w:eastAsia="Times New Roman" w:hAnsi="Times New Roman" w:cs="Times New Roman"/>
                <w:b/>
                <w:bCs/>
                <w:sz w:val="24"/>
                <w:szCs w:val="24"/>
                <w:lang w:eastAsia="lv-LV"/>
              </w:rPr>
            </w:pPr>
            <w:r w:rsidRPr="0007358F">
              <w:rPr>
                <w:rFonts w:ascii="Times New Roman" w:eastAsia="Times New Roman" w:hAnsi="Times New Roman" w:cs="Times New Roman"/>
                <w:b/>
                <w:bCs/>
                <w:sz w:val="24"/>
                <w:szCs w:val="24"/>
                <w:lang w:eastAsia="lv-LV"/>
              </w:rPr>
              <w:t>VI. Sabiedrības līdzdalība un komunikācijas aktivitātes</w:t>
            </w:r>
          </w:p>
        </w:tc>
      </w:tr>
      <w:tr w:rsidR="004A00F2" w:rsidRPr="0007358F" w14:paraId="335C420F" w14:textId="77777777" w:rsidTr="008D29D2">
        <w:tc>
          <w:tcPr>
            <w:tcW w:w="0" w:type="auto"/>
            <w:tcBorders>
              <w:top w:val="outset" w:sz="6" w:space="0" w:color="414142"/>
              <w:left w:val="outset" w:sz="6" w:space="0" w:color="414142"/>
              <w:bottom w:val="outset" w:sz="6" w:space="0" w:color="414142"/>
              <w:right w:val="outset" w:sz="6" w:space="0" w:color="414142"/>
            </w:tcBorders>
            <w:vAlign w:val="center"/>
          </w:tcPr>
          <w:p w14:paraId="335C420E" w14:textId="77777777" w:rsidR="004A00F2" w:rsidRPr="0007358F" w:rsidRDefault="004A00F2" w:rsidP="008D29D2">
            <w:pPr>
              <w:spacing w:after="0" w:line="240" w:lineRule="auto"/>
              <w:jc w:val="center"/>
              <w:rPr>
                <w:rFonts w:ascii="Times New Roman" w:eastAsia="Times New Roman" w:hAnsi="Times New Roman" w:cs="Times New Roman"/>
                <w:bCs/>
                <w:i/>
                <w:sz w:val="24"/>
                <w:szCs w:val="24"/>
                <w:lang w:eastAsia="lv-LV"/>
              </w:rPr>
            </w:pPr>
            <w:r w:rsidRPr="0007358F">
              <w:rPr>
                <w:rFonts w:ascii="Times New Roman" w:eastAsia="Times New Roman" w:hAnsi="Times New Roman" w:cs="Times New Roman"/>
                <w:bCs/>
                <w:i/>
                <w:sz w:val="24"/>
                <w:szCs w:val="24"/>
                <w:lang w:eastAsia="lv-LV"/>
              </w:rPr>
              <w:t>Likumprojekts šo jomu neskar.</w:t>
            </w:r>
          </w:p>
        </w:tc>
      </w:tr>
    </w:tbl>
    <w:p w14:paraId="335C4210" w14:textId="77777777" w:rsidR="004D15A9" w:rsidRPr="0007358F"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6"/>
        <w:gridCol w:w="2977"/>
        <w:gridCol w:w="5698"/>
      </w:tblGrid>
      <w:tr w:rsidR="00274617" w:rsidRPr="0007358F" w14:paraId="335C4212"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335C4211" w14:textId="77777777" w:rsidR="004D15A9" w:rsidRPr="0007358F"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07358F">
              <w:rPr>
                <w:rFonts w:ascii="Times New Roman" w:eastAsia="Times New Roman" w:hAnsi="Times New Roman" w:cs="Times New Roman"/>
                <w:b/>
                <w:bCs/>
                <w:sz w:val="24"/>
                <w:szCs w:val="24"/>
                <w:lang w:eastAsia="lv-LV"/>
              </w:rPr>
              <w:t>VII. Tiesību akta projekta izpildes nodrošināšana un tās ietekme uz institūcijām</w:t>
            </w:r>
          </w:p>
        </w:tc>
      </w:tr>
      <w:tr w:rsidR="00274617" w:rsidRPr="0007358F" w14:paraId="335C4216" w14:textId="77777777" w:rsidTr="00D22075">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335C4213" w14:textId="77777777" w:rsidR="004D15A9" w:rsidRPr="0007358F" w:rsidRDefault="004D15A9" w:rsidP="00DA596D">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1.</w:t>
            </w:r>
          </w:p>
        </w:tc>
        <w:tc>
          <w:tcPr>
            <w:tcW w:w="1630" w:type="pct"/>
            <w:tcBorders>
              <w:top w:val="outset" w:sz="6" w:space="0" w:color="414142"/>
              <w:left w:val="outset" w:sz="6" w:space="0" w:color="414142"/>
              <w:bottom w:val="outset" w:sz="6" w:space="0" w:color="414142"/>
              <w:right w:val="outset" w:sz="6" w:space="0" w:color="414142"/>
            </w:tcBorders>
            <w:hideMark/>
          </w:tcPr>
          <w:p w14:paraId="335C4214" w14:textId="77777777" w:rsidR="004D15A9" w:rsidRPr="0007358F" w:rsidRDefault="004D15A9" w:rsidP="0088077D">
            <w:pPr>
              <w:spacing w:after="0" w:line="240" w:lineRule="auto"/>
              <w:jc w:val="both"/>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Projekta izpildē iesaistītās institūcijas</w:t>
            </w:r>
          </w:p>
        </w:tc>
        <w:tc>
          <w:tcPr>
            <w:tcW w:w="3121" w:type="pct"/>
            <w:tcBorders>
              <w:top w:val="outset" w:sz="6" w:space="0" w:color="414142"/>
              <w:left w:val="outset" w:sz="6" w:space="0" w:color="414142"/>
              <w:bottom w:val="outset" w:sz="6" w:space="0" w:color="414142"/>
              <w:right w:val="outset" w:sz="6" w:space="0" w:color="414142"/>
            </w:tcBorders>
            <w:hideMark/>
          </w:tcPr>
          <w:p w14:paraId="335C4215" w14:textId="77777777" w:rsidR="004D15A9" w:rsidRPr="0007358F" w:rsidRDefault="00894854" w:rsidP="003A76EB">
            <w:pPr>
              <w:spacing w:after="0" w:line="240" w:lineRule="auto"/>
              <w:ind w:firstLine="284"/>
              <w:jc w:val="both"/>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UR</w:t>
            </w:r>
            <w:r w:rsidR="003643AB" w:rsidRPr="0007358F">
              <w:rPr>
                <w:rFonts w:ascii="Times New Roman" w:eastAsia="Times New Roman" w:hAnsi="Times New Roman" w:cs="Times New Roman"/>
                <w:sz w:val="24"/>
                <w:szCs w:val="24"/>
                <w:lang w:eastAsia="lv-LV"/>
              </w:rPr>
              <w:t xml:space="preserve">, </w:t>
            </w:r>
            <w:r w:rsidR="003A76EB" w:rsidRPr="0007358F">
              <w:rPr>
                <w:rFonts w:ascii="Times New Roman" w:eastAsia="Times New Roman" w:hAnsi="Times New Roman" w:cs="Times New Roman"/>
                <w:sz w:val="24"/>
                <w:szCs w:val="24"/>
                <w:lang w:eastAsia="lv-LV"/>
              </w:rPr>
              <w:t>VID</w:t>
            </w:r>
            <w:r w:rsidR="006C6B11" w:rsidRPr="0007358F">
              <w:rPr>
                <w:rFonts w:ascii="Times New Roman" w:eastAsia="Times New Roman" w:hAnsi="Times New Roman" w:cs="Times New Roman"/>
                <w:sz w:val="24"/>
                <w:szCs w:val="24"/>
                <w:lang w:eastAsia="lv-LV"/>
              </w:rPr>
              <w:t>.</w:t>
            </w:r>
          </w:p>
        </w:tc>
      </w:tr>
      <w:tr w:rsidR="00274617" w:rsidRPr="0007358F" w14:paraId="335C421C" w14:textId="77777777" w:rsidTr="00D22075">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335C4217" w14:textId="77777777" w:rsidR="004D15A9" w:rsidRPr="0007358F" w:rsidRDefault="004D15A9" w:rsidP="00DA596D">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2.</w:t>
            </w:r>
          </w:p>
        </w:tc>
        <w:tc>
          <w:tcPr>
            <w:tcW w:w="1630" w:type="pct"/>
            <w:tcBorders>
              <w:top w:val="outset" w:sz="6" w:space="0" w:color="414142"/>
              <w:left w:val="outset" w:sz="6" w:space="0" w:color="414142"/>
              <w:bottom w:val="outset" w:sz="6" w:space="0" w:color="414142"/>
              <w:right w:val="outset" w:sz="6" w:space="0" w:color="414142"/>
            </w:tcBorders>
            <w:hideMark/>
          </w:tcPr>
          <w:p w14:paraId="335C4218" w14:textId="77777777" w:rsidR="004D15A9" w:rsidRPr="0007358F" w:rsidRDefault="004D15A9" w:rsidP="0088077D">
            <w:pPr>
              <w:spacing w:after="0" w:line="240" w:lineRule="auto"/>
              <w:jc w:val="both"/>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 xml:space="preserve">Projekta izpildes ietekme uz pārvaldes funkcijām un institucionālo struktūru. </w:t>
            </w:r>
          </w:p>
          <w:p w14:paraId="335C4219" w14:textId="77777777" w:rsidR="004D15A9" w:rsidRPr="0007358F" w:rsidRDefault="004D15A9" w:rsidP="0088077D">
            <w:pPr>
              <w:spacing w:after="0" w:line="240" w:lineRule="auto"/>
              <w:ind w:firstLine="300"/>
              <w:jc w:val="both"/>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3121" w:type="pct"/>
            <w:tcBorders>
              <w:top w:val="outset" w:sz="6" w:space="0" w:color="414142"/>
              <w:left w:val="outset" w:sz="6" w:space="0" w:color="414142"/>
              <w:bottom w:val="outset" w:sz="6" w:space="0" w:color="414142"/>
              <w:right w:val="outset" w:sz="6" w:space="0" w:color="414142"/>
            </w:tcBorders>
            <w:hideMark/>
          </w:tcPr>
          <w:p w14:paraId="335C421B" w14:textId="613A344B" w:rsidR="004D15A9" w:rsidRPr="0007358F" w:rsidRDefault="0057695B" w:rsidP="0057695B">
            <w:pPr>
              <w:spacing w:after="0" w:line="24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Ņemot vērā, ka Projektā paredzētā UR risku vadības sistēmas pilnveidošana, nosakot</w:t>
            </w:r>
            <w:r w:rsidRPr="0057695B">
              <w:rPr>
                <w:rFonts w:ascii="Times New Roman" w:eastAsia="Times New Roman" w:hAnsi="Times New Roman" w:cs="Times New Roman"/>
                <w:sz w:val="24"/>
                <w:szCs w:val="24"/>
                <w:lang w:eastAsia="lv-LV"/>
              </w:rPr>
              <w:t xml:space="preserve"> tiesības UR nodot informāciju par iesniegtajiem pieteikumiem ierakstu izdarīšanai komercreģistrā kompetentajām iestādēm</w:t>
            </w:r>
            <w:r>
              <w:rPr>
                <w:rFonts w:ascii="Times New Roman" w:eastAsia="Times New Roman" w:hAnsi="Times New Roman" w:cs="Times New Roman"/>
                <w:sz w:val="24"/>
                <w:szCs w:val="24"/>
                <w:lang w:eastAsia="lv-LV"/>
              </w:rPr>
              <w:t>, papildina līdz šim veiktos UR uzdevumus, UR nepieciešamas 4 jaunas amata vietas Projektā noteiktā uzdevuma īstenošanai.</w:t>
            </w:r>
          </w:p>
        </w:tc>
      </w:tr>
      <w:tr w:rsidR="004D15A9" w:rsidRPr="0007358F" w14:paraId="335C4220" w14:textId="77777777" w:rsidTr="00D22075">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335C421D" w14:textId="77777777" w:rsidR="004D15A9" w:rsidRPr="0007358F" w:rsidRDefault="004D15A9" w:rsidP="00DA596D">
            <w:pPr>
              <w:spacing w:after="0" w:line="240" w:lineRule="auto"/>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3.</w:t>
            </w:r>
          </w:p>
        </w:tc>
        <w:tc>
          <w:tcPr>
            <w:tcW w:w="1630" w:type="pct"/>
            <w:tcBorders>
              <w:top w:val="outset" w:sz="6" w:space="0" w:color="414142"/>
              <w:left w:val="outset" w:sz="6" w:space="0" w:color="414142"/>
              <w:bottom w:val="outset" w:sz="6" w:space="0" w:color="414142"/>
              <w:right w:val="outset" w:sz="6" w:space="0" w:color="414142"/>
            </w:tcBorders>
            <w:hideMark/>
          </w:tcPr>
          <w:p w14:paraId="335C421E" w14:textId="77777777" w:rsidR="004D15A9" w:rsidRPr="0007358F" w:rsidRDefault="004D15A9" w:rsidP="0088077D">
            <w:pPr>
              <w:spacing w:after="0" w:line="240" w:lineRule="auto"/>
              <w:jc w:val="both"/>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Cita informācija</w:t>
            </w:r>
          </w:p>
        </w:tc>
        <w:tc>
          <w:tcPr>
            <w:tcW w:w="3121" w:type="pct"/>
            <w:tcBorders>
              <w:top w:val="outset" w:sz="6" w:space="0" w:color="414142"/>
              <w:left w:val="outset" w:sz="6" w:space="0" w:color="414142"/>
              <w:bottom w:val="outset" w:sz="6" w:space="0" w:color="414142"/>
              <w:right w:val="outset" w:sz="6" w:space="0" w:color="414142"/>
            </w:tcBorders>
            <w:hideMark/>
          </w:tcPr>
          <w:p w14:paraId="335C421F" w14:textId="77777777" w:rsidR="004D15A9" w:rsidRPr="0007358F" w:rsidRDefault="0088077D" w:rsidP="0088077D">
            <w:pPr>
              <w:spacing w:after="0" w:line="240" w:lineRule="auto"/>
              <w:ind w:firstLine="284"/>
              <w:jc w:val="both"/>
              <w:rPr>
                <w:rFonts w:ascii="Times New Roman" w:eastAsia="Times New Roman" w:hAnsi="Times New Roman" w:cs="Times New Roman"/>
                <w:sz w:val="24"/>
                <w:szCs w:val="24"/>
                <w:lang w:eastAsia="lv-LV"/>
              </w:rPr>
            </w:pPr>
            <w:r w:rsidRPr="0007358F">
              <w:rPr>
                <w:rFonts w:ascii="Times New Roman" w:eastAsia="Times New Roman" w:hAnsi="Times New Roman" w:cs="Times New Roman"/>
                <w:sz w:val="24"/>
                <w:szCs w:val="24"/>
                <w:lang w:eastAsia="lv-LV"/>
              </w:rPr>
              <w:t>Nav.</w:t>
            </w:r>
          </w:p>
        </w:tc>
      </w:tr>
    </w:tbl>
    <w:p w14:paraId="335C4221" w14:textId="77777777" w:rsidR="004D15A9" w:rsidRDefault="004D15A9" w:rsidP="00DA596D">
      <w:pPr>
        <w:spacing w:after="0" w:line="240" w:lineRule="auto"/>
        <w:rPr>
          <w:rFonts w:ascii="Times New Roman" w:hAnsi="Times New Roman" w:cs="Times New Roman"/>
          <w:sz w:val="24"/>
          <w:szCs w:val="24"/>
        </w:rPr>
      </w:pPr>
    </w:p>
    <w:p w14:paraId="335C4222" w14:textId="77777777" w:rsidR="004D15A9" w:rsidRPr="0007358F" w:rsidRDefault="004D15A9" w:rsidP="00DA596D">
      <w:pPr>
        <w:pStyle w:val="StyleRight"/>
        <w:spacing w:after="0"/>
        <w:ind w:firstLine="0"/>
        <w:jc w:val="both"/>
        <w:rPr>
          <w:sz w:val="24"/>
          <w:szCs w:val="24"/>
        </w:rPr>
      </w:pPr>
      <w:r w:rsidRPr="0007358F">
        <w:rPr>
          <w:sz w:val="24"/>
          <w:szCs w:val="24"/>
        </w:rPr>
        <w:t>Iesniedzēj</w:t>
      </w:r>
      <w:r w:rsidR="00192696">
        <w:rPr>
          <w:sz w:val="24"/>
          <w:szCs w:val="24"/>
        </w:rPr>
        <w:t>a</w:t>
      </w:r>
      <w:r w:rsidRPr="0007358F">
        <w:rPr>
          <w:sz w:val="24"/>
          <w:szCs w:val="24"/>
        </w:rPr>
        <w:t>:</w:t>
      </w:r>
    </w:p>
    <w:p w14:paraId="335C4224" w14:textId="075222CD" w:rsidR="004D15A9" w:rsidRPr="0007358F" w:rsidRDefault="00D5280A" w:rsidP="00DA596D">
      <w:pPr>
        <w:pStyle w:val="StyleRight"/>
        <w:spacing w:after="0"/>
        <w:ind w:firstLine="0"/>
        <w:jc w:val="both"/>
        <w:rPr>
          <w:sz w:val="24"/>
          <w:szCs w:val="24"/>
        </w:rPr>
      </w:pPr>
      <w:r>
        <w:rPr>
          <w:sz w:val="24"/>
          <w:szCs w:val="24"/>
        </w:rPr>
        <w:t xml:space="preserve">tieslietu ministra </w:t>
      </w:r>
      <w:proofErr w:type="spellStart"/>
      <w:r>
        <w:rPr>
          <w:sz w:val="24"/>
          <w:szCs w:val="24"/>
        </w:rPr>
        <w:t>p.i</w:t>
      </w:r>
      <w:proofErr w:type="spellEnd"/>
      <w:r>
        <w:rPr>
          <w:sz w:val="24"/>
          <w:szCs w:val="24"/>
        </w:rPr>
        <w:t>.</w:t>
      </w:r>
      <w:r w:rsidR="009E0C2C">
        <w:rPr>
          <w:sz w:val="24"/>
          <w:szCs w:val="24"/>
        </w:rPr>
        <w:tab/>
      </w:r>
      <w:r w:rsidR="009E0C2C">
        <w:rPr>
          <w:sz w:val="24"/>
          <w:szCs w:val="24"/>
        </w:rPr>
        <w:tab/>
      </w:r>
      <w:r w:rsidR="009E0C2C">
        <w:rPr>
          <w:sz w:val="24"/>
          <w:szCs w:val="24"/>
        </w:rPr>
        <w:tab/>
      </w:r>
      <w:r w:rsidR="009E0C2C">
        <w:rPr>
          <w:sz w:val="24"/>
          <w:szCs w:val="24"/>
        </w:rPr>
        <w:tab/>
      </w:r>
      <w:r w:rsidR="009E0C2C">
        <w:rPr>
          <w:sz w:val="24"/>
          <w:szCs w:val="24"/>
        </w:rPr>
        <w:tab/>
      </w:r>
      <w:r w:rsidR="009E0C2C">
        <w:rPr>
          <w:sz w:val="24"/>
          <w:szCs w:val="24"/>
        </w:rPr>
        <w:tab/>
      </w:r>
      <w:r w:rsidR="009E0C2C">
        <w:rPr>
          <w:sz w:val="24"/>
          <w:szCs w:val="24"/>
        </w:rPr>
        <w:tab/>
      </w:r>
      <w:r>
        <w:rPr>
          <w:sz w:val="24"/>
          <w:szCs w:val="24"/>
        </w:rPr>
        <w:t>Dace Melbārde</w:t>
      </w:r>
    </w:p>
    <w:p w14:paraId="335C4225" w14:textId="77777777" w:rsidR="003A2A0B" w:rsidRPr="008D5243" w:rsidRDefault="003A2A0B" w:rsidP="00DA596D">
      <w:pPr>
        <w:pStyle w:val="StyleRight"/>
        <w:spacing w:after="0"/>
        <w:ind w:firstLine="0"/>
        <w:jc w:val="both"/>
        <w:rPr>
          <w:sz w:val="18"/>
          <w:szCs w:val="24"/>
        </w:rPr>
      </w:pPr>
    </w:p>
    <w:p w14:paraId="335C4226" w14:textId="347AA7D8" w:rsidR="004D15A9" w:rsidRPr="008D5243" w:rsidRDefault="00D5280A" w:rsidP="00DA596D">
      <w:pPr>
        <w:spacing w:after="0" w:line="240" w:lineRule="auto"/>
        <w:rPr>
          <w:rFonts w:ascii="Times New Roman" w:hAnsi="Times New Roman" w:cs="Times New Roman"/>
          <w:sz w:val="18"/>
          <w:szCs w:val="24"/>
        </w:rPr>
      </w:pPr>
      <w:r>
        <w:rPr>
          <w:rFonts w:ascii="Times New Roman" w:hAnsi="Times New Roman" w:cs="Times New Roman"/>
          <w:sz w:val="18"/>
          <w:szCs w:val="24"/>
        </w:rPr>
        <w:t>08</w:t>
      </w:r>
      <w:r w:rsidR="006C6B11" w:rsidRPr="008D5243">
        <w:rPr>
          <w:rFonts w:ascii="Times New Roman" w:hAnsi="Times New Roman" w:cs="Times New Roman"/>
          <w:sz w:val="18"/>
          <w:szCs w:val="24"/>
        </w:rPr>
        <w:t>.0</w:t>
      </w:r>
      <w:r w:rsidR="00FA39D6">
        <w:rPr>
          <w:rFonts w:ascii="Times New Roman" w:hAnsi="Times New Roman" w:cs="Times New Roman"/>
          <w:sz w:val="18"/>
          <w:szCs w:val="24"/>
        </w:rPr>
        <w:t>9</w:t>
      </w:r>
      <w:r w:rsidR="006F6A1E" w:rsidRPr="008D5243">
        <w:rPr>
          <w:rFonts w:ascii="Times New Roman" w:hAnsi="Times New Roman" w:cs="Times New Roman"/>
          <w:sz w:val="18"/>
          <w:szCs w:val="24"/>
        </w:rPr>
        <w:t>.2016</w:t>
      </w:r>
      <w:r>
        <w:rPr>
          <w:rFonts w:ascii="Times New Roman" w:hAnsi="Times New Roman" w:cs="Times New Roman"/>
          <w:sz w:val="18"/>
          <w:szCs w:val="24"/>
        </w:rPr>
        <w:t>. 8:53</w:t>
      </w:r>
    </w:p>
    <w:p w14:paraId="335C4227" w14:textId="1F7E6BA6" w:rsidR="00090F85" w:rsidRPr="008D5243" w:rsidRDefault="002C65D9" w:rsidP="00DA596D">
      <w:pPr>
        <w:spacing w:after="0" w:line="240" w:lineRule="auto"/>
        <w:rPr>
          <w:rFonts w:ascii="Times New Roman" w:hAnsi="Times New Roman" w:cs="Times New Roman"/>
          <w:sz w:val="18"/>
          <w:szCs w:val="24"/>
        </w:rPr>
      </w:pPr>
      <w:r>
        <w:rPr>
          <w:rFonts w:ascii="Times New Roman" w:hAnsi="Times New Roman" w:cs="Times New Roman"/>
          <w:sz w:val="18"/>
          <w:szCs w:val="24"/>
        </w:rPr>
        <w:t>3145</w:t>
      </w:r>
    </w:p>
    <w:p w14:paraId="335C4228" w14:textId="77777777" w:rsidR="004D15A9" w:rsidRPr="008D5243" w:rsidRDefault="004B3910" w:rsidP="00DA596D">
      <w:pPr>
        <w:spacing w:after="0" w:line="240" w:lineRule="auto"/>
        <w:rPr>
          <w:rFonts w:ascii="Times New Roman" w:hAnsi="Times New Roman" w:cs="Times New Roman"/>
          <w:sz w:val="18"/>
          <w:szCs w:val="24"/>
        </w:rPr>
      </w:pPr>
      <w:r w:rsidRPr="008D5243">
        <w:rPr>
          <w:rFonts w:ascii="Times New Roman" w:hAnsi="Times New Roman" w:cs="Times New Roman"/>
          <w:sz w:val="18"/>
          <w:szCs w:val="24"/>
        </w:rPr>
        <w:t>L.Letiņa</w:t>
      </w:r>
    </w:p>
    <w:p w14:paraId="335C4229" w14:textId="77777777" w:rsidR="004D15A9" w:rsidRPr="008D5243" w:rsidRDefault="004B3910" w:rsidP="00DA596D">
      <w:pPr>
        <w:spacing w:after="0" w:line="240" w:lineRule="auto"/>
        <w:rPr>
          <w:rFonts w:ascii="Times New Roman" w:hAnsi="Times New Roman" w:cs="Times New Roman"/>
          <w:sz w:val="18"/>
          <w:szCs w:val="24"/>
        </w:rPr>
      </w:pPr>
      <w:r w:rsidRPr="008D5243">
        <w:rPr>
          <w:rFonts w:ascii="Times New Roman" w:hAnsi="Times New Roman" w:cs="Times New Roman"/>
          <w:sz w:val="18"/>
          <w:szCs w:val="24"/>
        </w:rPr>
        <w:t>67031734, Laima.Letina@ur.gov.lv</w:t>
      </w:r>
    </w:p>
    <w:sectPr w:rsidR="004D15A9" w:rsidRPr="008D5243" w:rsidSect="004D15A9">
      <w:headerReference w:type="default" r:id="rId11"/>
      <w:footerReference w:type="default" r:id="rId12"/>
      <w:footerReference w:type="first" r:id="rId13"/>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D5A45" w14:textId="77777777" w:rsidR="00296536" w:rsidRDefault="00296536" w:rsidP="004D15A9">
      <w:pPr>
        <w:spacing w:after="0" w:line="240" w:lineRule="auto"/>
      </w:pPr>
      <w:r>
        <w:separator/>
      </w:r>
    </w:p>
  </w:endnote>
  <w:endnote w:type="continuationSeparator" w:id="0">
    <w:p w14:paraId="044FB02A" w14:textId="77777777" w:rsidR="00296536" w:rsidRDefault="00296536"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C4230" w14:textId="0E045F59" w:rsidR="00D27B91" w:rsidRPr="006C6B11" w:rsidRDefault="00D27B91" w:rsidP="006C6B11">
    <w:pPr>
      <w:pStyle w:val="Kjene"/>
      <w:jc w:val="both"/>
      <w:rPr>
        <w:rFonts w:ascii="Times New Roman" w:hAnsi="Times New Roman" w:cs="Times New Roman"/>
        <w:sz w:val="20"/>
        <w:szCs w:val="20"/>
      </w:rPr>
    </w:pPr>
    <w:r>
      <w:rPr>
        <w:rFonts w:ascii="Times New Roman" w:hAnsi="Times New Roman" w:cs="Times New Roman"/>
        <w:sz w:val="20"/>
        <w:szCs w:val="20"/>
      </w:rPr>
      <w:t>TMAnot_</w:t>
    </w:r>
    <w:r w:rsidR="00D5280A">
      <w:rPr>
        <w:rFonts w:ascii="Times New Roman" w:hAnsi="Times New Roman" w:cs="Times New Roman"/>
        <w:sz w:val="20"/>
        <w:szCs w:val="20"/>
      </w:rPr>
      <w:t>08</w:t>
    </w:r>
    <w:r w:rsidR="00FA39D6">
      <w:rPr>
        <w:rFonts w:ascii="Times New Roman" w:hAnsi="Times New Roman" w:cs="Times New Roman"/>
        <w:sz w:val="20"/>
        <w:szCs w:val="20"/>
      </w:rPr>
      <w:t>09</w:t>
    </w:r>
    <w:r>
      <w:rPr>
        <w:rFonts w:ascii="Times New Roman" w:hAnsi="Times New Roman" w:cs="Times New Roman"/>
        <w:sz w:val="20"/>
        <w:szCs w:val="20"/>
      </w:rPr>
      <w:t>16_riskv</w:t>
    </w:r>
    <w:r w:rsidRPr="002C77E0">
      <w:rPr>
        <w:rFonts w:ascii="Times New Roman" w:hAnsi="Times New Roman" w:cs="Times New Roman"/>
        <w:sz w:val="20"/>
        <w:szCs w:val="20"/>
      </w:rPr>
      <w:t xml:space="preserve">; </w:t>
    </w:r>
    <w:r>
      <w:rPr>
        <w:rFonts w:ascii="Times New Roman" w:hAnsi="Times New Roman" w:cs="Times New Roman"/>
        <w:sz w:val="20"/>
        <w:szCs w:val="20"/>
      </w:rPr>
      <w:t xml:space="preserve">Likumprojekta </w:t>
    </w:r>
    <w:r w:rsidR="00AC1073">
      <w:rPr>
        <w:rFonts w:ascii="Times New Roman" w:hAnsi="Times New Roman" w:cs="Times New Roman"/>
        <w:sz w:val="20"/>
        <w:szCs w:val="20"/>
      </w:rPr>
      <w:t>“</w:t>
    </w:r>
    <w:r>
      <w:rPr>
        <w:rFonts w:ascii="Times New Roman" w:hAnsi="Times New Roman" w:cs="Times New Roman"/>
        <w:sz w:val="20"/>
        <w:szCs w:val="20"/>
      </w:rPr>
      <w:t xml:space="preserve">Grozījumi </w:t>
    </w:r>
    <w:r w:rsidRPr="002C77E0">
      <w:rPr>
        <w:rFonts w:ascii="Times New Roman" w:hAnsi="Times New Roman" w:cs="Times New Roman"/>
        <w:sz w:val="20"/>
        <w:szCs w:val="20"/>
      </w:rPr>
      <w:t xml:space="preserve">likumā </w:t>
    </w:r>
    <w:r w:rsidR="00AC1073">
      <w:rPr>
        <w:rFonts w:ascii="Times New Roman" w:hAnsi="Times New Roman" w:cs="Times New Roman"/>
        <w:sz w:val="20"/>
        <w:szCs w:val="20"/>
      </w:rPr>
      <w:t>“</w:t>
    </w:r>
    <w:r w:rsidRPr="002C77E0">
      <w:rPr>
        <w:rFonts w:ascii="Times New Roman" w:hAnsi="Times New Roman" w:cs="Times New Roman"/>
        <w:sz w:val="20"/>
        <w:szCs w:val="20"/>
      </w:rPr>
      <w:t>Par Latvijas Republikas Uzņēmumu reģistru”” sākotnējās ietekmes novērtējuma ziņojums (anotācija)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C4231" w14:textId="6F2F3FDC" w:rsidR="00D27B91" w:rsidRPr="004A00F2" w:rsidRDefault="00D27B91" w:rsidP="004A00F2">
    <w:pPr>
      <w:pStyle w:val="Kjene"/>
      <w:jc w:val="both"/>
      <w:rPr>
        <w:rFonts w:ascii="Times New Roman" w:hAnsi="Times New Roman" w:cs="Times New Roman"/>
        <w:sz w:val="20"/>
        <w:szCs w:val="20"/>
      </w:rPr>
    </w:pPr>
    <w:r>
      <w:rPr>
        <w:rFonts w:ascii="Times New Roman" w:hAnsi="Times New Roman" w:cs="Times New Roman"/>
        <w:sz w:val="20"/>
        <w:szCs w:val="20"/>
      </w:rPr>
      <w:t>TMAnot_</w:t>
    </w:r>
    <w:r w:rsidR="00D5280A">
      <w:rPr>
        <w:rFonts w:ascii="Times New Roman" w:hAnsi="Times New Roman" w:cs="Times New Roman"/>
        <w:sz w:val="20"/>
        <w:szCs w:val="20"/>
      </w:rPr>
      <w:t>08</w:t>
    </w:r>
    <w:r w:rsidR="00FA39D6">
      <w:rPr>
        <w:rFonts w:ascii="Times New Roman" w:hAnsi="Times New Roman" w:cs="Times New Roman"/>
        <w:sz w:val="20"/>
        <w:szCs w:val="20"/>
      </w:rPr>
      <w:t>09</w:t>
    </w:r>
    <w:r>
      <w:rPr>
        <w:rFonts w:ascii="Times New Roman" w:hAnsi="Times New Roman" w:cs="Times New Roman"/>
        <w:sz w:val="20"/>
        <w:szCs w:val="20"/>
      </w:rPr>
      <w:t>16_riskv</w:t>
    </w:r>
    <w:r w:rsidRPr="002C77E0">
      <w:rPr>
        <w:rFonts w:ascii="Times New Roman" w:hAnsi="Times New Roman" w:cs="Times New Roman"/>
        <w:sz w:val="20"/>
        <w:szCs w:val="20"/>
      </w:rPr>
      <w:t xml:space="preserve">; </w:t>
    </w:r>
    <w:r>
      <w:rPr>
        <w:rFonts w:ascii="Times New Roman" w:hAnsi="Times New Roman" w:cs="Times New Roman"/>
        <w:sz w:val="20"/>
        <w:szCs w:val="20"/>
      </w:rPr>
      <w:t xml:space="preserve">Likumprojekta </w:t>
    </w:r>
    <w:r w:rsidR="00AC1073">
      <w:rPr>
        <w:rFonts w:ascii="Times New Roman" w:hAnsi="Times New Roman" w:cs="Times New Roman"/>
        <w:sz w:val="20"/>
        <w:szCs w:val="20"/>
      </w:rPr>
      <w:t>“</w:t>
    </w:r>
    <w:r>
      <w:rPr>
        <w:rFonts w:ascii="Times New Roman" w:hAnsi="Times New Roman" w:cs="Times New Roman"/>
        <w:sz w:val="20"/>
        <w:szCs w:val="20"/>
      </w:rPr>
      <w:t xml:space="preserve">Grozījumi </w:t>
    </w:r>
    <w:r w:rsidRPr="002C77E0">
      <w:rPr>
        <w:rFonts w:ascii="Times New Roman" w:hAnsi="Times New Roman" w:cs="Times New Roman"/>
        <w:sz w:val="20"/>
        <w:szCs w:val="20"/>
      </w:rPr>
      <w:t xml:space="preserve">likumā </w:t>
    </w:r>
    <w:r w:rsidR="00AC1073">
      <w:rPr>
        <w:rFonts w:ascii="Times New Roman" w:hAnsi="Times New Roman" w:cs="Times New Roman"/>
        <w:sz w:val="20"/>
        <w:szCs w:val="20"/>
      </w:rPr>
      <w:t>“</w:t>
    </w:r>
    <w:r w:rsidRPr="002C77E0">
      <w:rPr>
        <w:rFonts w:ascii="Times New Roman" w:hAnsi="Times New Roman" w:cs="Times New Roman"/>
        <w:sz w:val="20"/>
        <w:szCs w:val="20"/>
      </w:rPr>
      <w:t>Par Latvijas Republikas Uzņēmumu reģistru”” sākotnējās ietekmes novērtējuma ziņojums (anotācija)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53574" w14:textId="77777777" w:rsidR="00296536" w:rsidRDefault="00296536" w:rsidP="004D15A9">
      <w:pPr>
        <w:spacing w:after="0" w:line="240" w:lineRule="auto"/>
      </w:pPr>
      <w:r>
        <w:separator/>
      </w:r>
    </w:p>
  </w:footnote>
  <w:footnote w:type="continuationSeparator" w:id="0">
    <w:p w14:paraId="49A85468" w14:textId="77777777" w:rsidR="00296536" w:rsidRDefault="00296536" w:rsidP="004D1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230928"/>
      <w:docPartObj>
        <w:docPartGallery w:val="Page Numbers (Top of Page)"/>
        <w:docPartUnique/>
      </w:docPartObj>
    </w:sdtPr>
    <w:sdtEndPr>
      <w:rPr>
        <w:rFonts w:ascii="Times New Roman" w:hAnsi="Times New Roman" w:cs="Times New Roman"/>
        <w:sz w:val="24"/>
        <w:szCs w:val="24"/>
      </w:rPr>
    </w:sdtEndPr>
    <w:sdtContent>
      <w:p w14:paraId="335C422E" w14:textId="788B4CD7" w:rsidR="00D27B91" w:rsidRPr="004D15A9" w:rsidRDefault="00D27B91">
        <w:pPr>
          <w:pStyle w:val="Galvene"/>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sidR="00F122EF">
          <w:rPr>
            <w:rFonts w:ascii="Times New Roman" w:hAnsi="Times New Roman" w:cs="Times New Roman"/>
            <w:noProof/>
            <w:sz w:val="24"/>
            <w:szCs w:val="24"/>
          </w:rPr>
          <w:t>10</w:t>
        </w:r>
        <w:r w:rsidRPr="004D15A9">
          <w:rPr>
            <w:rFonts w:ascii="Times New Roman" w:hAnsi="Times New Roman" w:cs="Times New Roman"/>
            <w:sz w:val="24"/>
            <w:szCs w:val="24"/>
          </w:rPr>
          <w:fldChar w:fldCharType="end"/>
        </w:r>
      </w:p>
    </w:sdtContent>
  </w:sdt>
  <w:p w14:paraId="335C422F" w14:textId="77777777" w:rsidR="00D27B91" w:rsidRDefault="00D27B9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44460"/>
    <w:multiLevelType w:val="hybridMultilevel"/>
    <w:tmpl w:val="756087A0"/>
    <w:lvl w:ilvl="0" w:tplc="9A8099C0">
      <w:start w:val="1"/>
      <w:numFmt w:val="decimal"/>
      <w:lvlText w:val="%1."/>
      <w:lvlJc w:val="left"/>
      <w:pPr>
        <w:ind w:left="360" w:hanging="360"/>
      </w:pPr>
      <w:rPr>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173915BF"/>
    <w:multiLevelType w:val="hybridMultilevel"/>
    <w:tmpl w:val="DCE84EA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C144F76"/>
    <w:multiLevelType w:val="multilevel"/>
    <w:tmpl w:val="4B5A46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91018D"/>
    <w:multiLevelType w:val="hybridMultilevel"/>
    <w:tmpl w:val="334088F6"/>
    <w:lvl w:ilvl="0" w:tplc="BFFCBC24">
      <w:start w:val="1"/>
      <w:numFmt w:val="decimal"/>
      <w:lvlText w:val="%1."/>
      <w:lvlJc w:val="left"/>
      <w:pPr>
        <w:ind w:left="809" w:hanging="525"/>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15:restartNumberingAfterBreak="0">
    <w:nsid w:val="24F51269"/>
    <w:multiLevelType w:val="multilevel"/>
    <w:tmpl w:val="B7DC282E"/>
    <w:lvl w:ilvl="0">
      <w:start w:val="1"/>
      <w:numFmt w:val="decimal"/>
      <w:lvlText w:val="%1."/>
      <w:lvlJc w:val="left"/>
      <w:pPr>
        <w:ind w:left="869" w:hanging="585"/>
      </w:pPr>
      <w:rPr>
        <w:rFonts w:hint="default"/>
      </w:rPr>
    </w:lvl>
    <w:lvl w:ilvl="1">
      <w:start w:val="1"/>
      <w:numFmt w:val="decimal"/>
      <w:isLgl/>
      <w:lvlText w:val="%1.%2."/>
      <w:lvlJc w:val="left"/>
      <w:pPr>
        <w:ind w:left="1229" w:hanging="360"/>
      </w:pPr>
      <w:rPr>
        <w:rFonts w:hint="default"/>
      </w:rPr>
    </w:lvl>
    <w:lvl w:ilvl="2">
      <w:start w:val="1"/>
      <w:numFmt w:val="decimal"/>
      <w:isLgl/>
      <w:lvlText w:val="%1.%2.%3."/>
      <w:lvlJc w:val="left"/>
      <w:pPr>
        <w:ind w:left="2174" w:hanging="720"/>
      </w:pPr>
      <w:rPr>
        <w:rFonts w:hint="default"/>
      </w:rPr>
    </w:lvl>
    <w:lvl w:ilvl="3">
      <w:start w:val="1"/>
      <w:numFmt w:val="decimal"/>
      <w:isLgl/>
      <w:lvlText w:val="%1.%2.%3.%4."/>
      <w:lvlJc w:val="left"/>
      <w:pPr>
        <w:ind w:left="2759" w:hanging="720"/>
      </w:pPr>
      <w:rPr>
        <w:rFonts w:hint="default"/>
      </w:rPr>
    </w:lvl>
    <w:lvl w:ilvl="4">
      <w:start w:val="1"/>
      <w:numFmt w:val="decimal"/>
      <w:isLgl/>
      <w:lvlText w:val="%1.%2.%3.%4.%5."/>
      <w:lvlJc w:val="left"/>
      <w:pPr>
        <w:ind w:left="3704" w:hanging="1080"/>
      </w:pPr>
      <w:rPr>
        <w:rFonts w:hint="default"/>
      </w:rPr>
    </w:lvl>
    <w:lvl w:ilvl="5">
      <w:start w:val="1"/>
      <w:numFmt w:val="decimal"/>
      <w:isLgl/>
      <w:lvlText w:val="%1.%2.%3.%4.%5.%6."/>
      <w:lvlJc w:val="left"/>
      <w:pPr>
        <w:ind w:left="4289" w:hanging="1080"/>
      </w:pPr>
      <w:rPr>
        <w:rFonts w:hint="default"/>
      </w:rPr>
    </w:lvl>
    <w:lvl w:ilvl="6">
      <w:start w:val="1"/>
      <w:numFmt w:val="decimal"/>
      <w:isLgl/>
      <w:lvlText w:val="%1.%2.%3.%4.%5.%6.%7."/>
      <w:lvlJc w:val="left"/>
      <w:pPr>
        <w:ind w:left="5234" w:hanging="1440"/>
      </w:pPr>
      <w:rPr>
        <w:rFonts w:hint="default"/>
      </w:rPr>
    </w:lvl>
    <w:lvl w:ilvl="7">
      <w:start w:val="1"/>
      <w:numFmt w:val="decimal"/>
      <w:isLgl/>
      <w:lvlText w:val="%1.%2.%3.%4.%5.%6.%7.%8."/>
      <w:lvlJc w:val="left"/>
      <w:pPr>
        <w:ind w:left="5819" w:hanging="1440"/>
      </w:pPr>
      <w:rPr>
        <w:rFonts w:hint="default"/>
      </w:rPr>
    </w:lvl>
    <w:lvl w:ilvl="8">
      <w:start w:val="1"/>
      <w:numFmt w:val="decimal"/>
      <w:isLgl/>
      <w:lvlText w:val="%1.%2.%3.%4.%5.%6.%7.%8.%9."/>
      <w:lvlJc w:val="left"/>
      <w:pPr>
        <w:ind w:left="6764" w:hanging="1800"/>
      </w:pPr>
      <w:rPr>
        <w:rFonts w:hint="default"/>
      </w:rPr>
    </w:lvl>
  </w:abstractNum>
  <w:abstractNum w:abstractNumId="5" w15:restartNumberingAfterBreak="0">
    <w:nsid w:val="2B087C94"/>
    <w:multiLevelType w:val="hybridMultilevel"/>
    <w:tmpl w:val="BBFE9344"/>
    <w:lvl w:ilvl="0" w:tplc="A9A2373E">
      <w:start w:val="3"/>
      <w:numFmt w:val="bullet"/>
      <w:lvlText w:val="-"/>
      <w:lvlJc w:val="left"/>
      <w:pPr>
        <w:ind w:left="935" w:hanging="360"/>
      </w:pPr>
      <w:rPr>
        <w:rFonts w:ascii="Times New Roman" w:eastAsia="Times New Roman" w:hAnsi="Times New Roman" w:cs="Times New Roman" w:hint="default"/>
      </w:rPr>
    </w:lvl>
    <w:lvl w:ilvl="1" w:tplc="04260003" w:tentative="1">
      <w:start w:val="1"/>
      <w:numFmt w:val="bullet"/>
      <w:lvlText w:val="o"/>
      <w:lvlJc w:val="left"/>
      <w:pPr>
        <w:ind w:left="1655" w:hanging="360"/>
      </w:pPr>
      <w:rPr>
        <w:rFonts w:ascii="Courier New" w:hAnsi="Courier New" w:cs="Courier New" w:hint="default"/>
      </w:rPr>
    </w:lvl>
    <w:lvl w:ilvl="2" w:tplc="04260005" w:tentative="1">
      <w:start w:val="1"/>
      <w:numFmt w:val="bullet"/>
      <w:lvlText w:val=""/>
      <w:lvlJc w:val="left"/>
      <w:pPr>
        <w:ind w:left="2375" w:hanging="360"/>
      </w:pPr>
      <w:rPr>
        <w:rFonts w:ascii="Wingdings" w:hAnsi="Wingdings" w:hint="default"/>
      </w:rPr>
    </w:lvl>
    <w:lvl w:ilvl="3" w:tplc="04260001" w:tentative="1">
      <w:start w:val="1"/>
      <w:numFmt w:val="bullet"/>
      <w:lvlText w:val=""/>
      <w:lvlJc w:val="left"/>
      <w:pPr>
        <w:ind w:left="3095" w:hanging="360"/>
      </w:pPr>
      <w:rPr>
        <w:rFonts w:ascii="Symbol" w:hAnsi="Symbol" w:hint="default"/>
      </w:rPr>
    </w:lvl>
    <w:lvl w:ilvl="4" w:tplc="04260003" w:tentative="1">
      <w:start w:val="1"/>
      <w:numFmt w:val="bullet"/>
      <w:lvlText w:val="o"/>
      <w:lvlJc w:val="left"/>
      <w:pPr>
        <w:ind w:left="3815" w:hanging="360"/>
      </w:pPr>
      <w:rPr>
        <w:rFonts w:ascii="Courier New" w:hAnsi="Courier New" w:cs="Courier New" w:hint="default"/>
      </w:rPr>
    </w:lvl>
    <w:lvl w:ilvl="5" w:tplc="04260005" w:tentative="1">
      <w:start w:val="1"/>
      <w:numFmt w:val="bullet"/>
      <w:lvlText w:val=""/>
      <w:lvlJc w:val="left"/>
      <w:pPr>
        <w:ind w:left="4535" w:hanging="360"/>
      </w:pPr>
      <w:rPr>
        <w:rFonts w:ascii="Wingdings" w:hAnsi="Wingdings" w:hint="default"/>
      </w:rPr>
    </w:lvl>
    <w:lvl w:ilvl="6" w:tplc="04260001" w:tentative="1">
      <w:start w:val="1"/>
      <w:numFmt w:val="bullet"/>
      <w:lvlText w:val=""/>
      <w:lvlJc w:val="left"/>
      <w:pPr>
        <w:ind w:left="5255" w:hanging="360"/>
      </w:pPr>
      <w:rPr>
        <w:rFonts w:ascii="Symbol" w:hAnsi="Symbol" w:hint="default"/>
      </w:rPr>
    </w:lvl>
    <w:lvl w:ilvl="7" w:tplc="04260003" w:tentative="1">
      <w:start w:val="1"/>
      <w:numFmt w:val="bullet"/>
      <w:lvlText w:val="o"/>
      <w:lvlJc w:val="left"/>
      <w:pPr>
        <w:ind w:left="5975" w:hanging="360"/>
      </w:pPr>
      <w:rPr>
        <w:rFonts w:ascii="Courier New" w:hAnsi="Courier New" w:cs="Courier New" w:hint="default"/>
      </w:rPr>
    </w:lvl>
    <w:lvl w:ilvl="8" w:tplc="04260005" w:tentative="1">
      <w:start w:val="1"/>
      <w:numFmt w:val="bullet"/>
      <w:lvlText w:val=""/>
      <w:lvlJc w:val="left"/>
      <w:pPr>
        <w:ind w:left="6695" w:hanging="360"/>
      </w:pPr>
      <w:rPr>
        <w:rFonts w:ascii="Wingdings" w:hAnsi="Wingdings" w:hint="default"/>
      </w:rPr>
    </w:lvl>
  </w:abstractNum>
  <w:abstractNum w:abstractNumId="6" w15:restartNumberingAfterBreak="0">
    <w:nsid w:val="53535D6D"/>
    <w:multiLevelType w:val="hybridMultilevel"/>
    <w:tmpl w:val="6318F6DE"/>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A9"/>
    <w:rsid w:val="0000537B"/>
    <w:rsid w:val="000109B2"/>
    <w:rsid w:val="0001571C"/>
    <w:rsid w:val="00020E13"/>
    <w:rsid w:val="00021276"/>
    <w:rsid w:val="00027676"/>
    <w:rsid w:val="00031256"/>
    <w:rsid w:val="00031C9F"/>
    <w:rsid w:val="000364B8"/>
    <w:rsid w:val="00037D11"/>
    <w:rsid w:val="0004287B"/>
    <w:rsid w:val="00043789"/>
    <w:rsid w:val="00045ACC"/>
    <w:rsid w:val="000505A3"/>
    <w:rsid w:val="00051542"/>
    <w:rsid w:val="00054745"/>
    <w:rsid w:val="0005743F"/>
    <w:rsid w:val="00061B46"/>
    <w:rsid w:val="00061C57"/>
    <w:rsid w:val="00065557"/>
    <w:rsid w:val="00072767"/>
    <w:rsid w:val="0007358F"/>
    <w:rsid w:val="00076925"/>
    <w:rsid w:val="0008559C"/>
    <w:rsid w:val="00086469"/>
    <w:rsid w:val="000873EC"/>
    <w:rsid w:val="00087DAA"/>
    <w:rsid w:val="00090F85"/>
    <w:rsid w:val="00094968"/>
    <w:rsid w:val="00096E2C"/>
    <w:rsid w:val="000A11A3"/>
    <w:rsid w:val="000A1DCF"/>
    <w:rsid w:val="000A6E67"/>
    <w:rsid w:val="000B43F6"/>
    <w:rsid w:val="000B7FE0"/>
    <w:rsid w:val="000D2578"/>
    <w:rsid w:val="000D2AA0"/>
    <w:rsid w:val="000E1A57"/>
    <w:rsid w:val="000E60E5"/>
    <w:rsid w:val="000E66A4"/>
    <w:rsid w:val="00101CD5"/>
    <w:rsid w:val="001044EF"/>
    <w:rsid w:val="001069B6"/>
    <w:rsid w:val="0011088B"/>
    <w:rsid w:val="00110D88"/>
    <w:rsid w:val="001219AD"/>
    <w:rsid w:val="00121CB2"/>
    <w:rsid w:val="00123B7F"/>
    <w:rsid w:val="0012578B"/>
    <w:rsid w:val="001266DD"/>
    <w:rsid w:val="001327D9"/>
    <w:rsid w:val="00134EC2"/>
    <w:rsid w:val="00140336"/>
    <w:rsid w:val="00140E7C"/>
    <w:rsid w:val="00144DD4"/>
    <w:rsid w:val="0014521E"/>
    <w:rsid w:val="00146710"/>
    <w:rsid w:val="0015493C"/>
    <w:rsid w:val="00154ABE"/>
    <w:rsid w:val="001557AB"/>
    <w:rsid w:val="001569FF"/>
    <w:rsid w:val="00156A8B"/>
    <w:rsid w:val="001608DF"/>
    <w:rsid w:val="00171B4F"/>
    <w:rsid w:val="00180771"/>
    <w:rsid w:val="00181CC5"/>
    <w:rsid w:val="00182D9C"/>
    <w:rsid w:val="00192696"/>
    <w:rsid w:val="001A02AB"/>
    <w:rsid w:val="001A3820"/>
    <w:rsid w:val="001A7787"/>
    <w:rsid w:val="001D552E"/>
    <w:rsid w:val="001E005A"/>
    <w:rsid w:val="001E0258"/>
    <w:rsid w:val="001E6B19"/>
    <w:rsid w:val="001F1DF3"/>
    <w:rsid w:val="001F2C16"/>
    <w:rsid w:val="001F335F"/>
    <w:rsid w:val="001F7CB9"/>
    <w:rsid w:val="00202177"/>
    <w:rsid w:val="002064C2"/>
    <w:rsid w:val="0022526E"/>
    <w:rsid w:val="0022582A"/>
    <w:rsid w:val="00226CDC"/>
    <w:rsid w:val="002341A9"/>
    <w:rsid w:val="002420C5"/>
    <w:rsid w:val="00253864"/>
    <w:rsid w:val="0025614B"/>
    <w:rsid w:val="00264F15"/>
    <w:rsid w:val="00266A55"/>
    <w:rsid w:val="00270B11"/>
    <w:rsid w:val="0027125D"/>
    <w:rsid w:val="00271FEC"/>
    <w:rsid w:val="0027286C"/>
    <w:rsid w:val="00274617"/>
    <w:rsid w:val="0027565C"/>
    <w:rsid w:val="00276D4A"/>
    <w:rsid w:val="002913F4"/>
    <w:rsid w:val="00296536"/>
    <w:rsid w:val="002A28C8"/>
    <w:rsid w:val="002B350D"/>
    <w:rsid w:val="002B7322"/>
    <w:rsid w:val="002B7E87"/>
    <w:rsid w:val="002C56A7"/>
    <w:rsid w:val="002C65D9"/>
    <w:rsid w:val="002C77E0"/>
    <w:rsid w:val="002C7CBA"/>
    <w:rsid w:val="002D304A"/>
    <w:rsid w:val="002D5C98"/>
    <w:rsid w:val="002D5D8C"/>
    <w:rsid w:val="002E32B9"/>
    <w:rsid w:val="002E4542"/>
    <w:rsid w:val="002E4E68"/>
    <w:rsid w:val="002E77B7"/>
    <w:rsid w:val="002F078D"/>
    <w:rsid w:val="002F08A5"/>
    <w:rsid w:val="002F0C11"/>
    <w:rsid w:val="002F7714"/>
    <w:rsid w:val="00302AB3"/>
    <w:rsid w:val="00302D57"/>
    <w:rsid w:val="00312196"/>
    <w:rsid w:val="003152CC"/>
    <w:rsid w:val="00321A08"/>
    <w:rsid w:val="0033249A"/>
    <w:rsid w:val="003377CC"/>
    <w:rsid w:val="00343A86"/>
    <w:rsid w:val="00344740"/>
    <w:rsid w:val="00345F17"/>
    <w:rsid w:val="00352D64"/>
    <w:rsid w:val="00354066"/>
    <w:rsid w:val="00361781"/>
    <w:rsid w:val="003643AB"/>
    <w:rsid w:val="003658F6"/>
    <w:rsid w:val="00366E5E"/>
    <w:rsid w:val="003746C6"/>
    <w:rsid w:val="0038073F"/>
    <w:rsid w:val="00384310"/>
    <w:rsid w:val="003922B0"/>
    <w:rsid w:val="00392A54"/>
    <w:rsid w:val="00393D1A"/>
    <w:rsid w:val="00394AAE"/>
    <w:rsid w:val="003A2A0B"/>
    <w:rsid w:val="003A3623"/>
    <w:rsid w:val="003A3BCF"/>
    <w:rsid w:val="003A60D6"/>
    <w:rsid w:val="003A68AF"/>
    <w:rsid w:val="003A7460"/>
    <w:rsid w:val="003A76EB"/>
    <w:rsid w:val="003B083B"/>
    <w:rsid w:val="003B61DF"/>
    <w:rsid w:val="003B6EB7"/>
    <w:rsid w:val="003C0EC2"/>
    <w:rsid w:val="003C4273"/>
    <w:rsid w:val="003D0F9B"/>
    <w:rsid w:val="003D3874"/>
    <w:rsid w:val="003D5840"/>
    <w:rsid w:val="003E4508"/>
    <w:rsid w:val="003E4532"/>
    <w:rsid w:val="003F171D"/>
    <w:rsid w:val="003F202A"/>
    <w:rsid w:val="003F51B1"/>
    <w:rsid w:val="00406135"/>
    <w:rsid w:val="00410B42"/>
    <w:rsid w:val="00411661"/>
    <w:rsid w:val="004118DC"/>
    <w:rsid w:val="00412790"/>
    <w:rsid w:val="0041337B"/>
    <w:rsid w:val="00417D90"/>
    <w:rsid w:val="0042496B"/>
    <w:rsid w:val="00430D22"/>
    <w:rsid w:val="004322EF"/>
    <w:rsid w:val="00433BC8"/>
    <w:rsid w:val="004349CE"/>
    <w:rsid w:val="004368FD"/>
    <w:rsid w:val="00436F2B"/>
    <w:rsid w:val="00437BCE"/>
    <w:rsid w:val="00444367"/>
    <w:rsid w:val="00444C8F"/>
    <w:rsid w:val="00444DF8"/>
    <w:rsid w:val="0044547D"/>
    <w:rsid w:val="0045199C"/>
    <w:rsid w:val="004523ED"/>
    <w:rsid w:val="00453B4C"/>
    <w:rsid w:val="004617F8"/>
    <w:rsid w:val="00466656"/>
    <w:rsid w:val="00466932"/>
    <w:rsid w:val="00474B6D"/>
    <w:rsid w:val="0048167D"/>
    <w:rsid w:val="00481F7B"/>
    <w:rsid w:val="00484155"/>
    <w:rsid w:val="00491471"/>
    <w:rsid w:val="00493AFB"/>
    <w:rsid w:val="004A00F2"/>
    <w:rsid w:val="004A0756"/>
    <w:rsid w:val="004A7F42"/>
    <w:rsid w:val="004B1E23"/>
    <w:rsid w:val="004B3910"/>
    <w:rsid w:val="004B79DB"/>
    <w:rsid w:val="004C05F7"/>
    <w:rsid w:val="004C2766"/>
    <w:rsid w:val="004C3156"/>
    <w:rsid w:val="004C4F90"/>
    <w:rsid w:val="004D15A9"/>
    <w:rsid w:val="004D4833"/>
    <w:rsid w:val="004F0835"/>
    <w:rsid w:val="004F4025"/>
    <w:rsid w:val="004F6AA0"/>
    <w:rsid w:val="00501DD5"/>
    <w:rsid w:val="00503482"/>
    <w:rsid w:val="005063D0"/>
    <w:rsid w:val="005110B0"/>
    <w:rsid w:val="00512B41"/>
    <w:rsid w:val="00514F24"/>
    <w:rsid w:val="005152F8"/>
    <w:rsid w:val="00517205"/>
    <w:rsid w:val="0052021D"/>
    <w:rsid w:val="00523F59"/>
    <w:rsid w:val="00524EEC"/>
    <w:rsid w:val="00534531"/>
    <w:rsid w:val="00534E53"/>
    <w:rsid w:val="00540206"/>
    <w:rsid w:val="00540927"/>
    <w:rsid w:val="00541244"/>
    <w:rsid w:val="00544228"/>
    <w:rsid w:val="0054457C"/>
    <w:rsid w:val="00546613"/>
    <w:rsid w:val="00550472"/>
    <w:rsid w:val="00551E03"/>
    <w:rsid w:val="005531E3"/>
    <w:rsid w:val="00555F4F"/>
    <w:rsid w:val="005579E7"/>
    <w:rsid w:val="00560A92"/>
    <w:rsid w:val="00562B08"/>
    <w:rsid w:val="005651A3"/>
    <w:rsid w:val="005764D8"/>
    <w:rsid w:val="0057695B"/>
    <w:rsid w:val="00577039"/>
    <w:rsid w:val="0058125C"/>
    <w:rsid w:val="00585001"/>
    <w:rsid w:val="00587C63"/>
    <w:rsid w:val="00594E19"/>
    <w:rsid w:val="005A0DC1"/>
    <w:rsid w:val="005A16D7"/>
    <w:rsid w:val="005A641D"/>
    <w:rsid w:val="005A6600"/>
    <w:rsid w:val="005B0359"/>
    <w:rsid w:val="005B0869"/>
    <w:rsid w:val="005B513E"/>
    <w:rsid w:val="005C2CD4"/>
    <w:rsid w:val="005C4780"/>
    <w:rsid w:val="005D1624"/>
    <w:rsid w:val="005D4C5C"/>
    <w:rsid w:val="005D4E8A"/>
    <w:rsid w:val="005E72A2"/>
    <w:rsid w:val="005E7954"/>
    <w:rsid w:val="005F088A"/>
    <w:rsid w:val="005F1E3A"/>
    <w:rsid w:val="005F4889"/>
    <w:rsid w:val="00602137"/>
    <w:rsid w:val="00603FB3"/>
    <w:rsid w:val="00604EC9"/>
    <w:rsid w:val="006125ED"/>
    <w:rsid w:val="006146C1"/>
    <w:rsid w:val="00620EE2"/>
    <w:rsid w:val="00622C27"/>
    <w:rsid w:val="00624A3B"/>
    <w:rsid w:val="00625C0F"/>
    <w:rsid w:val="0063157A"/>
    <w:rsid w:val="006344E5"/>
    <w:rsid w:val="00641C03"/>
    <w:rsid w:val="00651745"/>
    <w:rsid w:val="006521CC"/>
    <w:rsid w:val="0066004A"/>
    <w:rsid w:val="0066172B"/>
    <w:rsid w:val="00661F44"/>
    <w:rsid w:val="00662BE0"/>
    <w:rsid w:val="00665F9F"/>
    <w:rsid w:val="006701FA"/>
    <w:rsid w:val="00671A84"/>
    <w:rsid w:val="00671B7E"/>
    <w:rsid w:val="00674D91"/>
    <w:rsid w:val="0067777E"/>
    <w:rsid w:val="00682BE4"/>
    <w:rsid w:val="00686B93"/>
    <w:rsid w:val="006A635B"/>
    <w:rsid w:val="006B3505"/>
    <w:rsid w:val="006B5237"/>
    <w:rsid w:val="006B771A"/>
    <w:rsid w:val="006C6B11"/>
    <w:rsid w:val="006D6BA8"/>
    <w:rsid w:val="006D6CF5"/>
    <w:rsid w:val="006E2AF5"/>
    <w:rsid w:val="006E6A9D"/>
    <w:rsid w:val="006E71D1"/>
    <w:rsid w:val="006F2D4A"/>
    <w:rsid w:val="006F33C1"/>
    <w:rsid w:val="006F4274"/>
    <w:rsid w:val="006F6A1E"/>
    <w:rsid w:val="00702F1B"/>
    <w:rsid w:val="00723D81"/>
    <w:rsid w:val="00730019"/>
    <w:rsid w:val="007302DA"/>
    <w:rsid w:val="007311A3"/>
    <w:rsid w:val="00731732"/>
    <w:rsid w:val="007319E9"/>
    <w:rsid w:val="007351E1"/>
    <w:rsid w:val="007356A1"/>
    <w:rsid w:val="00741D7D"/>
    <w:rsid w:val="007478AA"/>
    <w:rsid w:val="00747A93"/>
    <w:rsid w:val="007537F6"/>
    <w:rsid w:val="00762A05"/>
    <w:rsid w:val="00766C12"/>
    <w:rsid w:val="00772B78"/>
    <w:rsid w:val="007749C5"/>
    <w:rsid w:val="0078109E"/>
    <w:rsid w:val="00781EC8"/>
    <w:rsid w:val="0078245E"/>
    <w:rsid w:val="007832E5"/>
    <w:rsid w:val="007835FC"/>
    <w:rsid w:val="007912A0"/>
    <w:rsid w:val="00794D68"/>
    <w:rsid w:val="007A3A69"/>
    <w:rsid w:val="007A4E86"/>
    <w:rsid w:val="007A7F57"/>
    <w:rsid w:val="007B3972"/>
    <w:rsid w:val="007B5D9D"/>
    <w:rsid w:val="007C05C7"/>
    <w:rsid w:val="007C0F81"/>
    <w:rsid w:val="007C3B6A"/>
    <w:rsid w:val="007C63DD"/>
    <w:rsid w:val="007C6BE5"/>
    <w:rsid w:val="007D1DB9"/>
    <w:rsid w:val="007D20AE"/>
    <w:rsid w:val="007D479C"/>
    <w:rsid w:val="007D582A"/>
    <w:rsid w:val="007D6C61"/>
    <w:rsid w:val="007D765C"/>
    <w:rsid w:val="007E0450"/>
    <w:rsid w:val="007E5ADB"/>
    <w:rsid w:val="007E7909"/>
    <w:rsid w:val="00800559"/>
    <w:rsid w:val="0081128F"/>
    <w:rsid w:val="008118B0"/>
    <w:rsid w:val="0081203F"/>
    <w:rsid w:val="008142F0"/>
    <w:rsid w:val="00815A0E"/>
    <w:rsid w:val="0081696E"/>
    <w:rsid w:val="008213B3"/>
    <w:rsid w:val="00824CB7"/>
    <w:rsid w:val="008376F4"/>
    <w:rsid w:val="00843D69"/>
    <w:rsid w:val="0084421E"/>
    <w:rsid w:val="00845729"/>
    <w:rsid w:val="0084675A"/>
    <w:rsid w:val="00856F32"/>
    <w:rsid w:val="00857269"/>
    <w:rsid w:val="00860746"/>
    <w:rsid w:val="008629DD"/>
    <w:rsid w:val="00862A88"/>
    <w:rsid w:val="008634AB"/>
    <w:rsid w:val="00866DC0"/>
    <w:rsid w:val="0087287A"/>
    <w:rsid w:val="0087525C"/>
    <w:rsid w:val="00875A3D"/>
    <w:rsid w:val="00880259"/>
    <w:rsid w:val="0088077D"/>
    <w:rsid w:val="00881D22"/>
    <w:rsid w:val="00882EC1"/>
    <w:rsid w:val="008842FA"/>
    <w:rsid w:val="0089121E"/>
    <w:rsid w:val="00891C1F"/>
    <w:rsid w:val="00891FE1"/>
    <w:rsid w:val="00894854"/>
    <w:rsid w:val="008966DF"/>
    <w:rsid w:val="008968E2"/>
    <w:rsid w:val="008979BD"/>
    <w:rsid w:val="008A083A"/>
    <w:rsid w:val="008B05F6"/>
    <w:rsid w:val="008B0F70"/>
    <w:rsid w:val="008B1C8C"/>
    <w:rsid w:val="008B4F72"/>
    <w:rsid w:val="008C4D93"/>
    <w:rsid w:val="008D29D2"/>
    <w:rsid w:val="008D5243"/>
    <w:rsid w:val="008D56D4"/>
    <w:rsid w:val="008E0DA3"/>
    <w:rsid w:val="008E3BA9"/>
    <w:rsid w:val="008E79BE"/>
    <w:rsid w:val="008E7B6F"/>
    <w:rsid w:val="008E7E70"/>
    <w:rsid w:val="008F62EA"/>
    <w:rsid w:val="009005C6"/>
    <w:rsid w:val="00901DB1"/>
    <w:rsid w:val="00912C72"/>
    <w:rsid w:val="00931AB6"/>
    <w:rsid w:val="00932AFF"/>
    <w:rsid w:val="00937BCF"/>
    <w:rsid w:val="00954D3B"/>
    <w:rsid w:val="00963DCE"/>
    <w:rsid w:val="00965D9B"/>
    <w:rsid w:val="00965DF6"/>
    <w:rsid w:val="0096604D"/>
    <w:rsid w:val="00966516"/>
    <w:rsid w:val="00975DC7"/>
    <w:rsid w:val="00977EF7"/>
    <w:rsid w:val="00984899"/>
    <w:rsid w:val="00984DBB"/>
    <w:rsid w:val="0099532D"/>
    <w:rsid w:val="009A1CD7"/>
    <w:rsid w:val="009B0D4C"/>
    <w:rsid w:val="009B187B"/>
    <w:rsid w:val="009B7FA3"/>
    <w:rsid w:val="009C7154"/>
    <w:rsid w:val="009C7E77"/>
    <w:rsid w:val="009D00C0"/>
    <w:rsid w:val="009D0EEF"/>
    <w:rsid w:val="009D55E0"/>
    <w:rsid w:val="009D60E3"/>
    <w:rsid w:val="009D6830"/>
    <w:rsid w:val="009E0C2C"/>
    <w:rsid w:val="009E148A"/>
    <w:rsid w:val="009E31E1"/>
    <w:rsid w:val="009E69BB"/>
    <w:rsid w:val="009E7340"/>
    <w:rsid w:val="009F4C36"/>
    <w:rsid w:val="00A00E68"/>
    <w:rsid w:val="00A023A1"/>
    <w:rsid w:val="00A06333"/>
    <w:rsid w:val="00A12DBB"/>
    <w:rsid w:val="00A14151"/>
    <w:rsid w:val="00A1730E"/>
    <w:rsid w:val="00A24BE2"/>
    <w:rsid w:val="00A25003"/>
    <w:rsid w:val="00A2565C"/>
    <w:rsid w:val="00A27F4D"/>
    <w:rsid w:val="00A35892"/>
    <w:rsid w:val="00A36A83"/>
    <w:rsid w:val="00A40EF4"/>
    <w:rsid w:val="00A41BBB"/>
    <w:rsid w:val="00A433EC"/>
    <w:rsid w:val="00A51785"/>
    <w:rsid w:val="00A52762"/>
    <w:rsid w:val="00A6371A"/>
    <w:rsid w:val="00A671B9"/>
    <w:rsid w:val="00A76FB8"/>
    <w:rsid w:val="00A8307E"/>
    <w:rsid w:val="00A84B38"/>
    <w:rsid w:val="00A85F92"/>
    <w:rsid w:val="00A9108C"/>
    <w:rsid w:val="00A95D4B"/>
    <w:rsid w:val="00A96C83"/>
    <w:rsid w:val="00AA1FFE"/>
    <w:rsid w:val="00AB3E26"/>
    <w:rsid w:val="00AB6009"/>
    <w:rsid w:val="00AC1073"/>
    <w:rsid w:val="00AD3424"/>
    <w:rsid w:val="00AD3562"/>
    <w:rsid w:val="00AE1F26"/>
    <w:rsid w:val="00AE461A"/>
    <w:rsid w:val="00AE5B0D"/>
    <w:rsid w:val="00AF536A"/>
    <w:rsid w:val="00B00BE6"/>
    <w:rsid w:val="00B01EF1"/>
    <w:rsid w:val="00B02261"/>
    <w:rsid w:val="00B141B3"/>
    <w:rsid w:val="00B145FA"/>
    <w:rsid w:val="00B15A10"/>
    <w:rsid w:val="00B15CD7"/>
    <w:rsid w:val="00B238CA"/>
    <w:rsid w:val="00B2633A"/>
    <w:rsid w:val="00B306E7"/>
    <w:rsid w:val="00B43F78"/>
    <w:rsid w:val="00B463AA"/>
    <w:rsid w:val="00B46D90"/>
    <w:rsid w:val="00B55F4B"/>
    <w:rsid w:val="00B573F3"/>
    <w:rsid w:val="00B67D7F"/>
    <w:rsid w:val="00B704B1"/>
    <w:rsid w:val="00B71D7B"/>
    <w:rsid w:val="00B7613D"/>
    <w:rsid w:val="00B76911"/>
    <w:rsid w:val="00B80895"/>
    <w:rsid w:val="00B82628"/>
    <w:rsid w:val="00B94835"/>
    <w:rsid w:val="00B97255"/>
    <w:rsid w:val="00BA0E0B"/>
    <w:rsid w:val="00BB1F46"/>
    <w:rsid w:val="00BB3E98"/>
    <w:rsid w:val="00BC72F8"/>
    <w:rsid w:val="00BC77CE"/>
    <w:rsid w:val="00BE42E3"/>
    <w:rsid w:val="00BE5A00"/>
    <w:rsid w:val="00BE709B"/>
    <w:rsid w:val="00BE7C79"/>
    <w:rsid w:val="00BF0753"/>
    <w:rsid w:val="00BF21E9"/>
    <w:rsid w:val="00BF2678"/>
    <w:rsid w:val="00BF3978"/>
    <w:rsid w:val="00C014CC"/>
    <w:rsid w:val="00C01B38"/>
    <w:rsid w:val="00C07FC7"/>
    <w:rsid w:val="00C1346E"/>
    <w:rsid w:val="00C1536D"/>
    <w:rsid w:val="00C157A9"/>
    <w:rsid w:val="00C234FE"/>
    <w:rsid w:val="00C3503F"/>
    <w:rsid w:val="00C41B11"/>
    <w:rsid w:val="00C54947"/>
    <w:rsid w:val="00C61DA3"/>
    <w:rsid w:val="00C63D11"/>
    <w:rsid w:val="00C65391"/>
    <w:rsid w:val="00C74A2E"/>
    <w:rsid w:val="00C82314"/>
    <w:rsid w:val="00C850EB"/>
    <w:rsid w:val="00C857DC"/>
    <w:rsid w:val="00C8728A"/>
    <w:rsid w:val="00C874D6"/>
    <w:rsid w:val="00C910DF"/>
    <w:rsid w:val="00C911D0"/>
    <w:rsid w:val="00C95FDD"/>
    <w:rsid w:val="00CA3692"/>
    <w:rsid w:val="00CA625B"/>
    <w:rsid w:val="00CB07CA"/>
    <w:rsid w:val="00CB3A9D"/>
    <w:rsid w:val="00CB462D"/>
    <w:rsid w:val="00CC02ED"/>
    <w:rsid w:val="00CC1EF4"/>
    <w:rsid w:val="00CD03EE"/>
    <w:rsid w:val="00CD2A41"/>
    <w:rsid w:val="00CD3E8E"/>
    <w:rsid w:val="00CD46AC"/>
    <w:rsid w:val="00CD6233"/>
    <w:rsid w:val="00CF4F3B"/>
    <w:rsid w:val="00D00E1A"/>
    <w:rsid w:val="00D03DD4"/>
    <w:rsid w:val="00D12CF9"/>
    <w:rsid w:val="00D14074"/>
    <w:rsid w:val="00D15B45"/>
    <w:rsid w:val="00D1707A"/>
    <w:rsid w:val="00D20CBC"/>
    <w:rsid w:val="00D22075"/>
    <w:rsid w:val="00D2308D"/>
    <w:rsid w:val="00D2404A"/>
    <w:rsid w:val="00D271ED"/>
    <w:rsid w:val="00D27B91"/>
    <w:rsid w:val="00D313D5"/>
    <w:rsid w:val="00D32BF4"/>
    <w:rsid w:val="00D332D2"/>
    <w:rsid w:val="00D34D73"/>
    <w:rsid w:val="00D35959"/>
    <w:rsid w:val="00D3646E"/>
    <w:rsid w:val="00D3680B"/>
    <w:rsid w:val="00D36979"/>
    <w:rsid w:val="00D41B2A"/>
    <w:rsid w:val="00D5280A"/>
    <w:rsid w:val="00D73693"/>
    <w:rsid w:val="00D8014B"/>
    <w:rsid w:val="00D81910"/>
    <w:rsid w:val="00D8351D"/>
    <w:rsid w:val="00D9202C"/>
    <w:rsid w:val="00D97CFA"/>
    <w:rsid w:val="00DA1AAB"/>
    <w:rsid w:val="00DA3EF6"/>
    <w:rsid w:val="00DA596D"/>
    <w:rsid w:val="00DA5BFB"/>
    <w:rsid w:val="00DB496B"/>
    <w:rsid w:val="00DB6E3B"/>
    <w:rsid w:val="00DC307C"/>
    <w:rsid w:val="00DC60C8"/>
    <w:rsid w:val="00DD3032"/>
    <w:rsid w:val="00DD41A2"/>
    <w:rsid w:val="00DE064F"/>
    <w:rsid w:val="00DE19A8"/>
    <w:rsid w:val="00DE1C04"/>
    <w:rsid w:val="00DE34E7"/>
    <w:rsid w:val="00DE3CC0"/>
    <w:rsid w:val="00DE67EB"/>
    <w:rsid w:val="00DE7574"/>
    <w:rsid w:val="00DF076D"/>
    <w:rsid w:val="00DF0E38"/>
    <w:rsid w:val="00DF38CA"/>
    <w:rsid w:val="00DF7D3A"/>
    <w:rsid w:val="00E051D0"/>
    <w:rsid w:val="00E17AD2"/>
    <w:rsid w:val="00E21C5B"/>
    <w:rsid w:val="00E25640"/>
    <w:rsid w:val="00E26CC3"/>
    <w:rsid w:val="00E30D66"/>
    <w:rsid w:val="00E36933"/>
    <w:rsid w:val="00E4391C"/>
    <w:rsid w:val="00E50B7E"/>
    <w:rsid w:val="00E51B8E"/>
    <w:rsid w:val="00E5264A"/>
    <w:rsid w:val="00E56F32"/>
    <w:rsid w:val="00E6083D"/>
    <w:rsid w:val="00E62F69"/>
    <w:rsid w:val="00E6586C"/>
    <w:rsid w:val="00E735B6"/>
    <w:rsid w:val="00E74A4D"/>
    <w:rsid w:val="00E8038B"/>
    <w:rsid w:val="00E85C9E"/>
    <w:rsid w:val="00E93F4B"/>
    <w:rsid w:val="00E966DE"/>
    <w:rsid w:val="00EA6682"/>
    <w:rsid w:val="00EB363F"/>
    <w:rsid w:val="00EB4920"/>
    <w:rsid w:val="00EB560B"/>
    <w:rsid w:val="00EC0C93"/>
    <w:rsid w:val="00EC3E18"/>
    <w:rsid w:val="00EC4D61"/>
    <w:rsid w:val="00EC5BC5"/>
    <w:rsid w:val="00ED2B2C"/>
    <w:rsid w:val="00ED78CD"/>
    <w:rsid w:val="00EE7AA2"/>
    <w:rsid w:val="00EF0AD8"/>
    <w:rsid w:val="00EF2A83"/>
    <w:rsid w:val="00F01183"/>
    <w:rsid w:val="00F06E29"/>
    <w:rsid w:val="00F1009C"/>
    <w:rsid w:val="00F1062F"/>
    <w:rsid w:val="00F107B7"/>
    <w:rsid w:val="00F110A0"/>
    <w:rsid w:val="00F122EF"/>
    <w:rsid w:val="00F13EC7"/>
    <w:rsid w:val="00F14468"/>
    <w:rsid w:val="00F1534C"/>
    <w:rsid w:val="00F21A33"/>
    <w:rsid w:val="00F260EF"/>
    <w:rsid w:val="00F2710F"/>
    <w:rsid w:val="00F27511"/>
    <w:rsid w:val="00F355E3"/>
    <w:rsid w:val="00F36C94"/>
    <w:rsid w:val="00F50994"/>
    <w:rsid w:val="00F50A43"/>
    <w:rsid w:val="00F5425B"/>
    <w:rsid w:val="00F553D8"/>
    <w:rsid w:val="00F724C4"/>
    <w:rsid w:val="00F77C23"/>
    <w:rsid w:val="00F800BB"/>
    <w:rsid w:val="00FA39B3"/>
    <w:rsid w:val="00FA39D6"/>
    <w:rsid w:val="00FA498C"/>
    <w:rsid w:val="00FA5ED0"/>
    <w:rsid w:val="00FB11DB"/>
    <w:rsid w:val="00FB566B"/>
    <w:rsid w:val="00FC0AC8"/>
    <w:rsid w:val="00FC4C0A"/>
    <w:rsid w:val="00FC7593"/>
    <w:rsid w:val="00FD3B9F"/>
    <w:rsid w:val="00FE2E84"/>
    <w:rsid w:val="00FE68A8"/>
    <w:rsid w:val="00FE69FA"/>
    <w:rsid w:val="00FE6F7A"/>
    <w:rsid w:val="00FF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5C40EA"/>
  <w15:docId w15:val="{4AFC799E-644A-4E0D-9B05-FCA36E9BD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2">
    <w:name w:val="heading 2"/>
    <w:basedOn w:val="Parasts"/>
    <w:next w:val="Parasts"/>
    <w:link w:val="Virsraksts2Rakstz"/>
    <w:uiPriority w:val="9"/>
    <w:semiHidden/>
    <w:unhideWhenUsed/>
    <w:qFormat/>
    <w:rsid w:val="001257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styleId="Sarakstarindkopa">
    <w:name w:val="List Paragraph"/>
    <w:basedOn w:val="Parasts"/>
    <w:uiPriority w:val="34"/>
    <w:qFormat/>
    <w:rsid w:val="00C01B38"/>
    <w:pPr>
      <w:ind w:left="720"/>
      <w:contextualSpacing/>
    </w:pPr>
  </w:style>
  <w:style w:type="character" w:styleId="Komentraatsauce">
    <w:name w:val="annotation reference"/>
    <w:basedOn w:val="Noklusjumarindkopasfonts"/>
    <w:uiPriority w:val="99"/>
    <w:semiHidden/>
    <w:unhideWhenUsed/>
    <w:rsid w:val="002C56A7"/>
    <w:rPr>
      <w:sz w:val="16"/>
      <w:szCs w:val="16"/>
    </w:rPr>
  </w:style>
  <w:style w:type="paragraph" w:styleId="Komentrateksts">
    <w:name w:val="annotation text"/>
    <w:basedOn w:val="Parasts"/>
    <w:link w:val="KomentratekstsRakstz"/>
    <w:uiPriority w:val="99"/>
    <w:semiHidden/>
    <w:unhideWhenUsed/>
    <w:rsid w:val="002C56A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56A7"/>
    <w:rPr>
      <w:sz w:val="20"/>
      <w:szCs w:val="20"/>
    </w:rPr>
  </w:style>
  <w:style w:type="paragraph" w:styleId="Komentratma">
    <w:name w:val="annotation subject"/>
    <w:basedOn w:val="Komentrateksts"/>
    <w:next w:val="Komentrateksts"/>
    <w:link w:val="KomentratmaRakstz"/>
    <w:uiPriority w:val="99"/>
    <w:semiHidden/>
    <w:unhideWhenUsed/>
    <w:rsid w:val="002C56A7"/>
    <w:rPr>
      <w:b/>
      <w:bCs/>
    </w:rPr>
  </w:style>
  <w:style w:type="character" w:customStyle="1" w:styleId="KomentratmaRakstz">
    <w:name w:val="Komentāra tēma Rakstz."/>
    <w:basedOn w:val="KomentratekstsRakstz"/>
    <w:link w:val="Komentratma"/>
    <w:uiPriority w:val="99"/>
    <w:semiHidden/>
    <w:rsid w:val="002C56A7"/>
    <w:rPr>
      <w:b/>
      <w:bCs/>
      <w:sz w:val="20"/>
      <w:szCs w:val="20"/>
    </w:rPr>
  </w:style>
  <w:style w:type="character" w:styleId="Hipersaite">
    <w:name w:val="Hyperlink"/>
    <w:basedOn w:val="Noklusjumarindkopasfonts"/>
    <w:uiPriority w:val="99"/>
    <w:unhideWhenUsed/>
    <w:rsid w:val="00D12CF9"/>
    <w:rPr>
      <w:color w:val="0000FF" w:themeColor="hyperlink"/>
      <w:u w:val="single"/>
    </w:rPr>
  </w:style>
  <w:style w:type="paragraph" w:styleId="Vresteksts">
    <w:name w:val="footnote text"/>
    <w:basedOn w:val="Parasts"/>
    <w:link w:val="VrestekstsRakstz"/>
    <w:uiPriority w:val="99"/>
    <w:semiHidden/>
    <w:unhideWhenUsed/>
    <w:rsid w:val="00D12CF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12CF9"/>
    <w:rPr>
      <w:sz w:val="20"/>
      <w:szCs w:val="20"/>
    </w:rPr>
  </w:style>
  <w:style w:type="character" w:styleId="Vresatsauce">
    <w:name w:val="footnote reference"/>
    <w:basedOn w:val="Noklusjumarindkopasfonts"/>
    <w:uiPriority w:val="99"/>
    <w:semiHidden/>
    <w:unhideWhenUsed/>
    <w:rsid w:val="00D12CF9"/>
    <w:rPr>
      <w:vertAlign w:val="superscript"/>
    </w:rPr>
  </w:style>
  <w:style w:type="table" w:styleId="Reatabula">
    <w:name w:val="Table Grid"/>
    <w:basedOn w:val="Parastatabula"/>
    <w:uiPriority w:val="59"/>
    <w:rsid w:val="00A25003"/>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CoverSubtitle">
    <w:name w:val="IS Cover Subtitle"/>
    <w:basedOn w:val="Virsraksts2"/>
    <w:link w:val="ISCoverSubtitleChar"/>
    <w:rsid w:val="0012578B"/>
    <w:pPr>
      <w:keepLines w:val="0"/>
      <w:widowControl w:val="0"/>
      <w:overflowPunct w:val="0"/>
      <w:autoSpaceDE w:val="0"/>
      <w:autoSpaceDN w:val="0"/>
      <w:adjustRightInd w:val="0"/>
      <w:spacing w:before="0" w:after="120" w:line="240" w:lineRule="auto"/>
      <w:ind w:left="142"/>
      <w:jc w:val="center"/>
      <w:textAlignment w:val="baseline"/>
      <w:outlineLvl w:val="9"/>
    </w:pPr>
    <w:rPr>
      <w:rFonts w:ascii="Calibri" w:eastAsia="Times New Roman" w:hAnsi="Calibri" w:cs="Arial"/>
      <w:b w:val="0"/>
      <w:sz w:val="48"/>
      <w:szCs w:val="48"/>
    </w:rPr>
  </w:style>
  <w:style w:type="character" w:customStyle="1" w:styleId="ISCoverSubtitleChar">
    <w:name w:val="IS Cover Subtitle Char"/>
    <w:basedOn w:val="Virsraksts2Rakstz"/>
    <w:link w:val="ISCoverSubtitle"/>
    <w:rsid w:val="0012578B"/>
    <w:rPr>
      <w:rFonts w:ascii="Calibri" w:eastAsia="Times New Roman" w:hAnsi="Calibri" w:cs="Arial"/>
      <w:b w:val="0"/>
      <w:bCs/>
      <w:color w:val="4F81BD" w:themeColor="accent1"/>
      <w:sz w:val="48"/>
      <w:szCs w:val="48"/>
    </w:rPr>
  </w:style>
  <w:style w:type="character" w:customStyle="1" w:styleId="Virsraksts2Rakstz">
    <w:name w:val="Virsraksts 2 Rakstz."/>
    <w:basedOn w:val="Noklusjumarindkopasfonts"/>
    <w:link w:val="Virsraksts2"/>
    <w:uiPriority w:val="9"/>
    <w:semiHidden/>
    <w:rsid w:val="0012578B"/>
    <w:rPr>
      <w:rFonts w:asciiTheme="majorHAnsi" w:eastAsiaTheme="majorEastAsia" w:hAnsiTheme="majorHAnsi" w:cstheme="majorBidi"/>
      <w:b/>
      <w:bCs/>
      <w:color w:val="4F81BD" w:themeColor="accent1"/>
      <w:sz w:val="26"/>
      <w:szCs w:val="26"/>
    </w:rPr>
  </w:style>
  <w:style w:type="paragraph" w:customStyle="1" w:styleId="ISBodyText">
    <w:name w:val="IS Body Text"/>
    <w:basedOn w:val="Parasts"/>
    <w:link w:val="ISBodyTextChar"/>
    <w:uiPriority w:val="99"/>
    <w:qFormat/>
    <w:rsid w:val="003B083B"/>
    <w:pPr>
      <w:overflowPunct w:val="0"/>
      <w:autoSpaceDE w:val="0"/>
      <w:autoSpaceDN w:val="0"/>
      <w:adjustRightInd w:val="0"/>
      <w:spacing w:before="120" w:after="120" w:line="240" w:lineRule="auto"/>
      <w:jc w:val="both"/>
      <w:textAlignment w:val="baseline"/>
    </w:pPr>
    <w:rPr>
      <w:rFonts w:ascii="Segoe UI" w:eastAsia="MS Mincho" w:hAnsi="Segoe UI" w:cs="Segoe UI"/>
      <w:bCs/>
    </w:rPr>
  </w:style>
  <w:style w:type="character" w:customStyle="1" w:styleId="ISBodyTextChar">
    <w:name w:val="IS Body Text Char"/>
    <w:basedOn w:val="Noklusjumarindkopasfonts"/>
    <w:link w:val="ISBodyText"/>
    <w:uiPriority w:val="99"/>
    <w:rsid w:val="003B083B"/>
    <w:rPr>
      <w:rFonts w:ascii="Segoe UI" w:eastAsia="MS Mincho" w:hAnsi="Segoe UI" w:cs="Segoe UI"/>
      <w:bCs/>
    </w:rPr>
  </w:style>
  <w:style w:type="paragraph" w:customStyle="1" w:styleId="naisf">
    <w:name w:val="naisf"/>
    <w:basedOn w:val="Parasts"/>
    <w:rsid w:val="008B1C8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7B3972"/>
    <w:pPr>
      <w:spacing w:before="100" w:beforeAutospacing="1" w:after="100" w:afterAutospacing="1" w:line="240" w:lineRule="auto"/>
    </w:pPr>
    <w:rPr>
      <w:rFonts w:ascii="Times New Roman" w:hAnsi="Times New Roman" w:cs="Times New Roman"/>
      <w:sz w:val="24"/>
      <w:szCs w:val="24"/>
      <w:lang w:eastAsia="lv-LV"/>
    </w:rPr>
  </w:style>
  <w:style w:type="paragraph" w:customStyle="1" w:styleId="naiskr">
    <w:name w:val="naiskr"/>
    <w:basedOn w:val="Parasts"/>
    <w:rsid w:val="005A6600"/>
    <w:pPr>
      <w:spacing w:before="75" w:after="75" w:line="240" w:lineRule="auto"/>
    </w:pPr>
    <w:rPr>
      <w:rFonts w:ascii="Times New Roman" w:eastAsia="Times New Roman" w:hAnsi="Times New Roman" w:cs="Times New Roman"/>
      <w:sz w:val="24"/>
      <w:szCs w:val="24"/>
      <w:lang w:eastAsia="lv-LV"/>
    </w:rPr>
  </w:style>
  <w:style w:type="character" w:styleId="Izmantotahipersaite">
    <w:name w:val="FollowedHyperlink"/>
    <w:basedOn w:val="Noklusjumarindkopasfonts"/>
    <w:uiPriority w:val="99"/>
    <w:semiHidden/>
    <w:unhideWhenUsed/>
    <w:rsid w:val="00361781"/>
    <w:rPr>
      <w:color w:val="800080" w:themeColor="followedHyperlink"/>
      <w:u w:val="single"/>
    </w:rPr>
  </w:style>
  <w:style w:type="paragraph" w:styleId="Prskatjums">
    <w:name w:val="Revision"/>
    <w:hidden/>
    <w:uiPriority w:val="99"/>
    <w:semiHidden/>
    <w:rsid w:val="00C153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230627941">
      <w:bodyDiv w:val="1"/>
      <w:marLeft w:val="0"/>
      <w:marRight w:val="0"/>
      <w:marTop w:val="0"/>
      <w:marBottom w:val="0"/>
      <w:divBdr>
        <w:top w:val="none" w:sz="0" w:space="0" w:color="auto"/>
        <w:left w:val="none" w:sz="0" w:space="0" w:color="auto"/>
        <w:bottom w:val="none" w:sz="0" w:space="0" w:color="auto"/>
        <w:right w:val="none" w:sz="0" w:space="0" w:color="auto"/>
      </w:divBdr>
    </w:div>
    <w:div w:id="1052582332">
      <w:bodyDiv w:val="1"/>
      <w:marLeft w:val="0"/>
      <w:marRight w:val="0"/>
      <w:marTop w:val="0"/>
      <w:marBottom w:val="0"/>
      <w:divBdr>
        <w:top w:val="none" w:sz="0" w:space="0" w:color="auto"/>
        <w:left w:val="none" w:sz="0" w:space="0" w:color="auto"/>
        <w:bottom w:val="none" w:sz="0" w:space="0" w:color="auto"/>
        <w:right w:val="none" w:sz="0" w:space="0" w:color="auto"/>
      </w:divBdr>
    </w:div>
    <w:div w:id="1058623749">
      <w:bodyDiv w:val="1"/>
      <w:marLeft w:val="0"/>
      <w:marRight w:val="0"/>
      <w:marTop w:val="0"/>
      <w:marBottom w:val="0"/>
      <w:divBdr>
        <w:top w:val="none" w:sz="0" w:space="0" w:color="auto"/>
        <w:left w:val="none" w:sz="0" w:space="0" w:color="auto"/>
        <w:bottom w:val="none" w:sz="0" w:space="0" w:color="auto"/>
        <w:right w:val="none" w:sz="0" w:space="0" w:color="auto"/>
      </w:divBdr>
    </w:div>
    <w:div w:id="1208226255">
      <w:bodyDiv w:val="1"/>
      <w:marLeft w:val="0"/>
      <w:marRight w:val="0"/>
      <w:marTop w:val="0"/>
      <w:marBottom w:val="0"/>
      <w:divBdr>
        <w:top w:val="none" w:sz="0" w:space="0" w:color="auto"/>
        <w:left w:val="none" w:sz="0" w:space="0" w:color="auto"/>
        <w:bottom w:val="none" w:sz="0" w:space="0" w:color="auto"/>
        <w:right w:val="none" w:sz="0" w:space="0" w:color="auto"/>
      </w:divBdr>
      <w:divsChild>
        <w:div w:id="533231142">
          <w:marLeft w:val="0"/>
          <w:marRight w:val="0"/>
          <w:marTop w:val="0"/>
          <w:marBottom w:val="0"/>
          <w:divBdr>
            <w:top w:val="none" w:sz="0" w:space="0" w:color="auto"/>
            <w:left w:val="none" w:sz="0" w:space="0" w:color="auto"/>
            <w:bottom w:val="none" w:sz="0" w:space="0" w:color="auto"/>
            <w:right w:val="none" w:sz="0" w:space="0" w:color="auto"/>
          </w:divBdr>
          <w:divsChild>
            <w:div w:id="962079477">
              <w:marLeft w:val="0"/>
              <w:marRight w:val="0"/>
              <w:marTop w:val="0"/>
              <w:marBottom w:val="0"/>
              <w:divBdr>
                <w:top w:val="none" w:sz="0" w:space="0" w:color="auto"/>
                <w:left w:val="none" w:sz="0" w:space="0" w:color="auto"/>
                <w:bottom w:val="none" w:sz="0" w:space="0" w:color="auto"/>
                <w:right w:val="none" w:sz="0" w:space="0" w:color="auto"/>
              </w:divBdr>
              <w:divsChild>
                <w:div w:id="687677230">
                  <w:marLeft w:val="0"/>
                  <w:marRight w:val="0"/>
                  <w:marTop w:val="0"/>
                  <w:marBottom w:val="0"/>
                  <w:divBdr>
                    <w:top w:val="none" w:sz="0" w:space="0" w:color="auto"/>
                    <w:left w:val="none" w:sz="0" w:space="0" w:color="auto"/>
                    <w:bottom w:val="none" w:sz="0" w:space="0" w:color="auto"/>
                    <w:right w:val="none" w:sz="0" w:space="0" w:color="auto"/>
                  </w:divBdr>
                  <w:divsChild>
                    <w:div w:id="918178108">
                      <w:marLeft w:val="0"/>
                      <w:marRight w:val="0"/>
                      <w:marTop w:val="0"/>
                      <w:marBottom w:val="0"/>
                      <w:divBdr>
                        <w:top w:val="none" w:sz="0" w:space="0" w:color="auto"/>
                        <w:left w:val="none" w:sz="0" w:space="0" w:color="auto"/>
                        <w:bottom w:val="none" w:sz="0" w:space="0" w:color="auto"/>
                        <w:right w:val="none" w:sz="0" w:space="0" w:color="auto"/>
                      </w:divBdr>
                      <w:divsChild>
                        <w:div w:id="563175265">
                          <w:marLeft w:val="0"/>
                          <w:marRight w:val="0"/>
                          <w:marTop w:val="0"/>
                          <w:marBottom w:val="0"/>
                          <w:divBdr>
                            <w:top w:val="none" w:sz="0" w:space="0" w:color="auto"/>
                            <w:left w:val="none" w:sz="0" w:space="0" w:color="auto"/>
                            <w:bottom w:val="none" w:sz="0" w:space="0" w:color="auto"/>
                            <w:right w:val="none" w:sz="0" w:space="0" w:color="auto"/>
                          </w:divBdr>
                          <w:divsChild>
                            <w:div w:id="174066789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EC0B472EF0F99B42870BE39AF286AE17" ma:contentTypeVersion="1" ma:contentTypeDescription="Izveidot jaunu dokumentu." ma:contentTypeScope="" ma:versionID="ccf092e21189c7b8f5291ec327151725">
  <xsd:schema xmlns:xsd="http://www.w3.org/2001/XMLSchema" xmlns:p="http://schemas.microsoft.com/office/2006/metadata/properties" targetNamespace="http://schemas.microsoft.com/office/2006/metadata/properties" ma:root="true" ma:fieldsID="887683701d22fc48f5cb5195972e737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Īss satura izklā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675F0-DB21-4F24-BE4C-36F0394D7C1C}">
  <ds:schemaRefs>
    <ds:schemaRef ds:uri="http://schemas.microsoft.com/sharepoint/v3/contenttype/forms"/>
  </ds:schemaRefs>
</ds:datastoreItem>
</file>

<file path=customXml/itemProps2.xml><?xml version="1.0" encoding="utf-8"?>
<ds:datastoreItem xmlns:ds="http://schemas.openxmlformats.org/officeDocument/2006/customXml" ds:itemID="{A76FEA14-B9C4-4503-9118-9741F6906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6B73EE5-1B9E-42D4-85CB-2C0E07F6D4D5}">
  <ds:schemaRefs>
    <ds:schemaRef ds:uri="http://purl.org/dc/dcmitype/"/>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00A1BA97-25CD-4A4D-AF98-3260C2A35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15622</Words>
  <Characters>8905</Characters>
  <Application>Microsoft Office Word</Application>
  <DocSecurity>4</DocSecurity>
  <Lines>74</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Likumprojekta „Grozījumi likumā „Par Latvijas Republikas Uzņēmumu reģistru”” sākotnējās ietekmes novērtējuma ziņojums (anotācija)</vt:lpstr>
      <vt:lpstr>Likumprojekta „Grozījumi likumā „Par Latvijas Republikas Uzņēmumu reģistru”” sākotnējās ietekmes novērtējuma ziņojums (anotācija)</vt:lpstr>
    </vt:vector>
  </TitlesOfParts>
  <Company>Tieslietu ministrija</Company>
  <LinksUpToDate>false</LinksUpToDate>
  <CharactersWithSpaces>24479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likumā „Par Latvijas Republikas Uzņēmumu reģistru”” sākotnējās ietekmes novērtējuma ziņojums (anotācija)</dc:title>
  <dc:subject>Anotācija</dc:subject>
  <dc:creator>Laima Letiņa</dc:creator>
  <dc:description>Letiņa, 67031734, Laima.Letina@ur.gov.lv</dc:description>
  <cp:lastModifiedBy>Baiba Danovska</cp:lastModifiedBy>
  <cp:revision>2</cp:revision>
  <cp:lastPrinted>2016-08-05T07:22:00Z</cp:lastPrinted>
  <dcterms:created xsi:type="dcterms:W3CDTF">2017-07-27T08:37:00Z</dcterms:created>
  <dcterms:modified xsi:type="dcterms:W3CDTF">2017-07-27T08:37:00Z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0x010100EC0B472EF0F99B42870BE39AF286AE17</vt:lpwstr>
  </property>
</Properties>
</file>